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94BAB">
      <w:pPr>
        <w:spacing w:line="298" w:lineRule="auto"/>
        <w:jc w:val="center"/>
        <w:rPr>
          <w:rFonts w:hint="eastAsia" w:ascii="宋体" w:hAnsi="宋体" w:eastAsia="宋体" w:cs="宋体"/>
          <w:b/>
          <w:sz w:val="32"/>
          <w:szCs w:val="32"/>
        </w:rPr>
      </w:pPr>
    </w:p>
    <w:p w14:paraId="6D4BFFA5">
      <w:pPr>
        <w:spacing w:line="298" w:lineRule="auto"/>
        <w:jc w:val="center"/>
        <w:rPr>
          <w:rFonts w:hint="eastAsia" w:ascii="宋体" w:hAnsi="宋体" w:eastAsia="宋体" w:cs="宋体"/>
          <w:b/>
          <w:sz w:val="32"/>
          <w:szCs w:val="32"/>
        </w:rPr>
      </w:pPr>
      <w:r>
        <w:rPr>
          <w:rFonts w:hint="eastAsia" w:ascii="宋体" w:hAnsi="宋体" w:eastAsia="宋体" w:cs="宋体"/>
          <w:b/>
          <w:sz w:val="32"/>
          <w:szCs w:val="32"/>
        </w:rPr>
        <w:t>永兴特种材料科技股份有限公司</w:t>
      </w:r>
    </w:p>
    <w:p w14:paraId="3AB2A57B">
      <w:pPr>
        <w:spacing w:line="298" w:lineRule="auto"/>
        <w:jc w:val="center"/>
        <w:rPr>
          <w:rFonts w:hint="eastAsia" w:ascii="宋体" w:hAnsi="宋体" w:eastAsia="宋体" w:cs="宋体"/>
          <w:b/>
          <w:sz w:val="32"/>
          <w:szCs w:val="32"/>
        </w:rPr>
      </w:pPr>
      <w:r>
        <w:rPr>
          <w:rFonts w:hint="eastAsia" w:ascii="宋体" w:hAnsi="宋体" w:eastAsia="宋体" w:cs="宋体"/>
          <w:b/>
          <w:sz w:val="32"/>
          <w:szCs w:val="32"/>
        </w:rPr>
        <w:t>内幕信息知情人登记管理制度</w:t>
      </w:r>
    </w:p>
    <w:p w14:paraId="1674A2A1">
      <w:pPr>
        <w:spacing w:line="298" w:lineRule="auto"/>
        <w:jc w:val="center"/>
        <w:rPr>
          <w:rFonts w:hint="eastAsia" w:ascii="宋体" w:hAnsi="宋体" w:eastAsia="宋体" w:cs="宋体"/>
          <w:b/>
          <w:sz w:val="30"/>
          <w:szCs w:val="30"/>
        </w:rPr>
      </w:pPr>
    </w:p>
    <w:p w14:paraId="3B847B44">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总  则</w:t>
      </w:r>
    </w:p>
    <w:p w14:paraId="0892283E">
      <w:pPr>
        <w:tabs>
          <w:tab w:val="left" w:pos="1440"/>
          <w:tab w:val="left" w:pos="1980"/>
        </w:tabs>
        <w:spacing w:line="298" w:lineRule="auto"/>
        <w:rPr>
          <w:rFonts w:hint="eastAsia" w:ascii="宋体" w:hAnsi="宋体" w:eastAsia="宋体" w:cs="宋体"/>
          <w:b/>
          <w:sz w:val="24"/>
        </w:rPr>
      </w:pPr>
    </w:p>
    <w:p w14:paraId="7EDCB2E3">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为了进一步规范永兴特种材料科技股份有限公司（以下简称“公司”）内幕信息管理，加强内幕信息保密工作，维护公司信息披露的公开、公平、公正原则，保护广大投资者的合法权益，根据《中华人民共和国公司法》、《中华人民共和国证券法》、《上市公司信息披露管理办法》、《上市公司监管指引第5号——上市公司内幕信息知情人登记管理制度》等法律、法规、证券监管部门相关规范性文件及《深圳证券交易所股票上市规则》、《永兴特种材料科技股份有限公司章程》、《信息披露事务管理制度》的有关要求，特制定本制度。</w:t>
      </w:r>
    </w:p>
    <w:p w14:paraId="5927085E">
      <w:pPr>
        <w:tabs>
          <w:tab w:val="left" w:pos="1440"/>
          <w:tab w:val="left" w:pos="1980"/>
        </w:tabs>
        <w:spacing w:line="298" w:lineRule="auto"/>
        <w:rPr>
          <w:rFonts w:hint="eastAsia" w:ascii="宋体" w:hAnsi="宋体" w:eastAsia="宋体" w:cs="宋体"/>
          <w:sz w:val="24"/>
        </w:rPr>
      </w:pPr>
    </w:p>
    <w:p w14:paraId="1FE1F120">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本制度适用于公司及子公司（含控股和全资子公司，下同）内幕信息及其知情人的管理事宜。本制度未规定的，适用公司《信息披露管理办法》的相关规定。</w:t>
      </w:r>
    </w:p>
    <w:p w14:paraId="19E16C1F">
      <w:pPr>
        <w:tabs>
          <w:tab w:val="left" w:pos="1980"/>
        </w:tabs>
        <w:spacing w:line="298" w:lineRule="auto"/>
        <w:rPr>
          <w:rFonts w:hint="eastAsia" w:ascii="宋体" w:hAnsi="宋体" w:eastAsia="宋体" w:cs="宋体"/>
          <w:sz w:val="24"/>
        </w:rPr>
      </w:pPr>
    </w:p>
    <w:p w14:paraId="0345AFB0">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内幕信息的管理工作由董事会负责，董事会秘书组织实施。公司董事会办公室是公司信息披露管理、投资者关系管理、内幕信息登记备案的日常办事机构，并负责公司内幕信息的监管工作。</w:t>
      </w:r>
    </w:p>
    <w:p w14:paraId="7DEC7C2B">
      <w:pPr>
        <w:tabs>
          <w:tab w:val="left" w:pos="1980"/>
        </w:tabs>
        <w:spacing w:line="298" w:lineRule="auto"/>
        <w:rPr>
          <w:rFonts w:hint="eastAsia" w:ascii="宋体" w:hAnsi="宋体" w:eastAsia="宋体" w:cs="宋体"/>
          <w:sz w:val="24"/>
        </w:rPr>
      </w:pPr>
    </w:p>
    <w:p w14:paraId="279529BD">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未经董事会秘书批准同意，公司任何部门和个人不得向外界泄露、报道、传送有关公司内幕信息及信息披露的内容。对外报道、传送的文件、音像及光盘等涉及内幕信息及信息披露内容的资料，须经董事会秘书同意后，方可对外报道、传送。</w:t>
      </w:r>
    </w:p>
    <w:p w14:paraId="0F3CD6E2">
      <w:pPr>
        <w:tabs>
          <w:tab w:val="left" w:pos="1980"/>
        </w:tabs>
        <w:spacing w:line="298" w:lineRule="auto"/>
        <w:rPr>
          <w:rFonts w:hint="eastAsia" w:ascii="宋体" w:hAnsi="宋体" w:eastAsia="宋体" w:cs="宋体"/>
          <w:sz w:val="24"/>
        </w:rPr>
      </w:pPr>
    </w:p>
    <w:p w14:paraId="669BF4CB">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内幕信息及其范围</w:t>
      </w:r>
    </w:p>
    <w:p w14:paraId="1A065D7F">
      <w:pPr>
        <w:tabs>
          <w:tab w:val="left" w:pos="1980"/>
        </w:tabs>
        <w:spacing w:line="298" w:lineRule="auto"/>
        <w:rPr>
          <w:rFonts w:hint="eastAsia" w:ascii="宋体" w:hAnsi="宋体" w:eastAsia="宋体" w:cs="宋体"/>
          <w:sz w:val="24"/>
        </w:rPr>
      </w:pPr>
    </w:p>
    <w:p w14:paraId="0DC51372">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所称内幕信息，是指根据《证券法》第五十二条规定，涉及上市公司的经营、财务或者对公司证券市场价格有重大影响的尚未公开的信息。《证券法》第八十条第二款、第八十一条第二款所列重大事件属于内幕信息。尚未公开是指公司尚未在中国证监会指定、公司选定的上市公司信息披露刊物或网站上正式公开披露。</w:t>
      </w:r>
    </w:p>
    <w:p w14:paraId="48DC94F4">
      <w:pPr>
        <w:tabs>
          <w:tab w:val="left" w:pos="1980"/>
        </w:tabs>
        <w:spacing w:line="298" w:lineRule="auto"/>
        <w:rPr>
          <w:rFonts w:hint="eastAsia" w:ascii="宋体" w:hAnsi="宋体" w:eastAsia="宋体" w:cs="宋体"/>
          <w:sz w:val="24"/>
        </w:rPr>
      </w:pPr>
    </w:p>
    <w:p w14:paraId="529D829F">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 xml:space="preserve">内幕信息包括但不限于： </w:t>
      </w:r>
    </w:p>
    <w:p w14:paraId="01B29026">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公司的经营方针和经营范围的重大变化；</w:t>
      </w:r>
    </w:p>
    <w:p w14:paraId="1EAAB2E8">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公司的重大投资行为和重大的购置财产的决定；</w:t>
      </w:r>
    </w:p>
    <w:p w14:paraId="40A885FD">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公司订立重要合同，可能对公司的资产、负债、权益和经营成果产生重要影响；</w:t>
      </w:r>
    </w:p>
    <w:p w14:paraId="1B5A45D0">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公司发生重大债务和未能清偿到期重大债务的违约情况；</w:t>
      </w:r>
    </w:p>
    <w:p w14:paraId="71271C99">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公司发生重大亏损或者重大损失；</w:t>
      </w:r>
    </w:p>
    <w:p w14:paraId="4E5135FC">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公司生产经营的外部条件发生的重大变化；</w:t>
      </w:r>
    </w:p>
    <w:p w14:paraId="3220DD16">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公司的董事或者经理发生变动；</w:t>
      </w:r>
    </w:p>
    <w:p w14:paraId="42F48D48">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持有公司百分之五以上股份的股东或者实际控制人，其持有股份或者控制公司的情况发生较大变化；</w:t>
      </w:r>
    </w:p>
    <w:p w14:paraId="317516DE">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公司减资、合并、分立、解散及申请破产的决定；</w:t>
      </w:r>
    </w:p>
    <w:p w14:paraId="61EB6B14">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涉及公司的重大诉讼，股东会、董事会决议被依法撤销或者宣告无效；</w:t>
      </w:r>
    </w:p>
    <w:p w14:paraId="082E5EEE">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公司涉嫌犯罪被司法机关立案调查，公司董事、高级管理人员涉嫌犯罪被司法机关采取强制措施；</w:t>
      </w:r>
    </w:p>
    <w:p w14:paraId="1998B412">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公司分配股利或者增资的计划；</w:t>
      </w:r>
    </w:p>
    <w:p w14:paraId="01DDCF3D">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公司股权结构的重大变化；</w:t>
      </w:r>
    </w:p>
    <w:p w14:paraId="6B78F3C1">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公司债务担保的重大变更；</w:t>
      </w:r>
    </w:p>
    <w:p w14:paraId="1DF177C2">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公司营业用主要资产的抵押、出售或者报废一次超过该资产的百分之三十；</w:t>
      </w:r>
    </w:p>
    <w:p w14:paraId="337A6C7D">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公司的董事、高级管理人员的行为可能依法承担重大损害赔偿责任；</w:t>
      </w:r>
    </w:p>
    <w:p w14:paraId="2DF5E204">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上市公司收购的有关方案；</w:t>
      </w:r>
    </w:p>
    <w:p w14:paraId="626BD620">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公司筹划并购、重组、发行新股或者其他再融资事项；</w:t>
      </w:r>
    </w:p>
    <w:p w14:paraId="39FAFAEE">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公司业绩预告、业绩快报和定期报告披露前，业绩预告、业绩快报和定期报告的内容；</w:t>
      </w:r>
    </w:p>
    <w:p w14:paraId="5C2217F3">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公司实施高送转的利润分配、资本公积金转增股本；</w:t>
      </w:r>
    </w:p>
    <w:p w14:paraId="78973E6B">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公司实施股权激励、员工持股计划；</w:t>
      </w:r>
    </w:p>
    <w:p w14:paraId="2525489D">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公司《信息披露管理制度》规定应予披露的其他重大事项；</w:t>
      </w:r>
    </w:p>
    <w:p w14:paraId="1DD70486">
      <w:pPr>
        <w:numPr>
          <w:ilvl w:val="3"/>
          <w:numId w:val="2"/>
        </w:numPr>
        <w:tabs>
          <w:tab w:val="left" w:pos="1440"/>
          <w:tab w:val="left" w:pos="2410"/>
          <w:tab w:val="clear" w:pos="1980"/>
        </w:tabs>
        <w:spacing w:line="298" w:lineRule="auto"/>
        <w:ind w:left="2410" w:hanging="992"/>
        <w:rPr>
          <w:rFonts w:hint="eastAsia" w:ascii="宋体" w:hAnsi="宋体" w:eastAsia="宋体" w:cs="宋体"/>
          <w:sz w:val="24"/>
        </w:rPr>
      </w:pPr>
      <w:r>
        <w:rPr>
          <w:rFonts w:hint="eastAsia" w:ascii="宋体" w:hAnsi="宋体" w:eastAsia="宋体" w:cs="宋体"/>
          <w:sz w:val="24"/>
        </w:rPr>
        <w:t>中国证监会及深圳证券交易所认定的对证券交易价格有显著影响的其他重要信息。</w:t>
      </w:r>
    </w:p>
    <w:p w14:paraId="5B31FAE9">
      <w:pPr>
        <w:tabs>
          <w:tab w:val="left" w:pos="1980"/>
        </w:tabs>
        <w:spacing w:line="298" w:lineRule="auto"/>
        <w:rPr>
          <w:rFonts w:hint="eastAsia" w:ascii="宋体" w:hAnsi="宋体" w:eastAsia="宋体" w:cs="宋体"/>
          <w:sz w:val="24"/>
        </w:rPr>
      </w:pPr>
    </w:p>
    <w:p w14:paraId="07D88A75">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内幕信息知情人及其范围</w:t>
      </w:r>
    </w:p>
    <w:p w14:paraId="4827EA1C">
      <w:pPr>
        <w:spacing w:line="298" w:lineRule="auto"/>
        <w:ind w:left="3435"/>
        <w:rPr>
          <w:rFonts w:hint="eastAsia" w:ascii="宋体" w:hAnsi="宋体" w:eastAsia="宋体" w:cs="宋体"/>
          <w:sz w:val="24"/>
        </w:rPr>
      </w:pPr>
    </w:p>
    <w:p w14:paraId="3D053607">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本制度所指内幕信息知情人是指公司内幕信息公开披露前能直接或者间接获取内幕信息的单位和个人。</w:t>
      </w:r>
    </w:p>
    <w:p w14:paraId="738368FC">
      <w:pPr>
        <w:tabs>
          <w:tab w:val="left" w:pos="1980"/>
        </w:tabs>
        <w:spacing w:line="298" w:lineRule="auto"/>
        <w:rPr>
          <w:rFonts w:hint="eastAsia" w:ascii="宋体" w:hAnsi="宋体" w:eastAsia="宋体" w:cs="宋体"/>
          <w:sz w:val="24"/>
        </w:rPr>
      </w:pPr>
    </w:p>
    <w:p w14:paraId="49E6826B">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内幕信息知情人是指《证券法》第五十一条规定的有关人员，包括但不限于：</w:t>
      </w:r>
    </w:p>
    <w:p w14:paraId="15F44823">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（一）公司的董事、监事、高级管理人员；</w:t>
      </w:r>
    </w:p>
    <w:p w14:paraId="7E690000">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（二）持有公司5%以上股份的股东及其董事、监事、高级管理人员，公司控股或者实际控制的企业及其董事、监事、高级管理人员；公司控股股东、实际控制人及其董事、监事、高级管理人员；</w:t>
      </w:r>
    </w:p>
    <w:p w14:paraId="7B57FAE3">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（三）公司内部参与重大事项筹划、论证、决策等环节的人员；</w:t>
      </w:r>
    </w:p>
    <w:p w14:paraId="46421621">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（四）因履职而知悉内幕信息的财务人员、内部审计人员、信息披露事务工作人员；</w:t>
      </w:r>
    </w:p>
    <w:p w14:paraId="5D60039B">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（五）公司收购人或者重大资产交易方及其控股股东、实际控制人、董事、监事和高级管理人员；相关事项的提案股东及其董事、监事、高级管理人员；</w:t>
      </w:r>
    </w:p>
    <w:p w14:paraId="2AD4C6C5">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（六）因职务、工作可以获取内幕信息的证券监督管理机构工作人员，或者证券交易场所、证券公司、证券登记结算机构、中介机构的有关人员；</w:t>
      </w:r>
    </w:p>
    <w:p w14:paraId="15A6697D">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（七）依法从公司获取有关内幕信息的其他外部单位人员；</w:t>
      </w:r>
    </w:p>
    <w:p w14:paraId="0409549E">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（八）参与重大事项筹划、论证、决策、审批等环节的其他外部单位人员；</w:t>
      </w:r>
    </w:p>
    <w:p w14:paraId="63A766D8">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（九）因法定职责对证券的发行、交易或者对公司及其收购、重大资产交易进行管理可以获取内幕信息的有关主管部门、监管机构的工作人员；</w:t>
      </w:r>
    </w:p>
    <w:p w14:paraId="096BCB63">
      <w:pPr>
        <w:tabs>
          <w:tab w:val="left" w:pos="2410"/>
        </w:tabs>
        <w:spacing w:line="298" w:lineRule="auto"/>
        <w:ind w:left="1418"/>
        <w:rPr>
          <w:rFonts w:hint="eastAsia" w:ascii="宋体" w:hAnsi="宋体" w:eastAsia="宋体" w:cs="宋体"/>
          <w:sz w:val="24"/>
        </w:rPr>
      </w:pPr>
      <w:r>
        <w:rPr>
          <w:rFonts w:hint="eastAsia" w:ascii="宋体" w:hAnsi="宋体" w:eastAsia="宋体" w:cs="宋体"/>
          <w:sz w:val="24"/>
        </w:rPr>
        <w:t>（十）由于与前述相关人员存在亲属关系、业务往来关系等原因而知悉公司有关内幕信息的其他人员；</w:t>
      </w:r>
    </w:p>
    <w:p w14:paraId="7C53171D">
      <w:pPr>
        <w:tabs>
          <w:tab w:val="left" w:pos="2410"/>
        </w:tabs>
        <w:spacing w:line="298" w:lineRule="auto"/>
        <w:ind w:firstLine="1440" w:firstLineChars="600"/>
        <w:rPr>
          <w:rFonts w:hint="eastAsia" w:ascii="宋体" w:hAnsi="宋体" w:eastAsia="宋体" w:cs="宋体"/>
          <w:sz w:val="24"/>
        </w:rPr>
      </w:pPr>
      <w:r>
        <w:rPr>
          <w:rFonts w:hint="eastAsia" w:ascii="宋体" w:hAnsi="宋体" w:eastAsia="宋体" w:cs="宋体"/>
          <w:sz w:val="24"/>
        </w:rPr>
        <w:t>（十一）国务院证券监督管理机构规定的可以获取内幕信息的其他人员。</w:t>
      </w:r>
    </w:p>
    <w:p w14:paraId="10456B69">
      <w:pPr>
        <w:tabs>
          <w:tab w:val="left" w:pos="2410"/>
        </w:tabs>
        <w:spacing w:line="298" w:lineRule="auto"/>
        <w:ind w:left="1418"/>
        <w:rPr>
          <w:rFonts w:hint="eastAsia" w:ascii="宋体" w:hAnsi="宋体" w:eastAsia="宋体" w:cs="宋体"/>
          <w:sz w:val="24"/>
        </w:rPr>
      </w:pPr>
    </w:p>
    <w:p w14:paraId="2914C6E7">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内幕信息的保密管理</w:t>
      </w:r>
    </w:p>
    <w:p w14:paraId="2364A7E1">
      <w:pPr>
        <w:tabs>
          <w:tab w:val="left" w:pos="1080"/>
        </w:tabs>
        <w:spacing w:line="298" w:lineRule="auto"/>
        <w:rPr>
          <w:rFonts w:hint="eastAsia" w:ascii="宋体" w:hAnsi="宋体" w:eastAsia="宋体" w:cs="宋体"/>
          <w:b/>
          <w:sz w:val="24"/>
        </w:rPr>
      </w:pPr>
    </w:p>
    <w:p w14:paraId="0356946E">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公司内幕信息知情人对内幕信息负有保密的责任，在内幕信息公开前，不得以任何形式对外泄露。</w:t>
      </w:r>
    </w:p>
    <w:p w14:paraId="2C0784A2">
      <w:pPr>
        <w:tabs>
          <w:tab w:val="left" w:pos="1980"/>
        </w:tabs>
        <w:spacing w:line="298" w:lineRule="auto"/>
        <w:rPr>
          <w:rFonts w:hint="eastAsia" w:ascii="宋体" w:hAnsi="宋体" w:eastAsia="宋体" w:cs="宋体"/>
          <w:sz w:val="24"/>
        </w:rPr>
      </w:pPr>
    </w:p>
    <w:p w14:paraId="7A0B349D">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公司内幕信息知情人在获得内幕信息后至信息公开披露前，不得利用内幕信息买卖公司证券，或者建议他人买卖公司证券。</w:t>
      </w:r>
    </w:p>
    <w:p w14:paraId="7B3EB45A">
      <w:pPr>
        <w:tabs>
          <w:tab w:val="left" w:pos="1980"/>
        </w:tabs>
        <w:spacing w:line="298" w:lineRule="auto"/>
        <w:rPr>
          <w:rFonts w:hint="eastAsia" w:ascii="宋体" w:hAnsi="宋体" w:eastAsia="宋体" w:cs="宋体"/>
          <w:sz w:val="24"/>
        </w:rPr>
      </w:pPr>
    </w:p>
    <w:p w14:paraId="6D559A4F">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公司董事、高级管理人员及其他内幕信息知情人应采取必要的措施，在内幕信息公开披露前将该信息的知情者控制在最小范围内。</w:t>
      </w:r>
    </w:p>
    <w:p w14:paraId="24235B10">
      <w:pPr>
        <w:tabs>
          <w:tab w:val="left" w:pos="1980"/>
        </w:tabs>
        <w:spacing w:line="298" w:lineRule="auto"/>
        <w:rPr>
          <w:rFonts w:hint="eastAsia" w:ascii="宋体" w:hAnsi="宋体" w:eastAsia="宋体" w:cs="宋体"/>
          <w:sz w:val="24"/>
        </w:rPr>
      </w:pPr>
    </w:p>
    <w:p w14:paraId="1E1BC690">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内幕信息公开前，内幕信息知情人应将载有内幕信息的文件、盘片、录音带、会议记录、决议等资料妥善保管，不准借给他人阅读、复制，不准交由他人代为携带、保管。内幕信息知情人应采取相应措施，保证电脑储存的有关内幕信息资料不被调阅、拷贝。</w:t>
      </w:r>
    </w:p>
    <w:p w14:paraId="30903DAD">
      <w:pPr>
        <w:tabs>
          <w:tab w:val="left" w:pos="1980"/>
        </w:tabs>
        <w:spacing w:line="298" w:lineRule="auto"/>
        <w:rPr>
          <w:rFonts w:hint="eastAsia" w:ascii="宋体" w:hAnsi="宋体" w:eastAsia="宋体" w:cs="宋体"/>
          <w:sz w:val="24"/>
        </w:rPr>
      </w:pPr>
    </w:p>
    <w:p w14:paraId="251756F6">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公司定期报告公告前，有关工作人员不得将公司定期报告及有关数据向外界泄露和报送，不得在任何网站上以任何形式进行传播。</w:t>
      </w:r>
    </w:p>
    <w:p w14:paraId="672C3F0C">
      <w:pPr>
        <w:tabs>
          <w:tab w:val="left" w:pos="1980"/>
        </w:tabs>
        <w:spacing w:line="298" w:lineRule="auto"/>
        <w:rPr>
          <w:rFonts w:hint="eastAsia" w:ascii="宋体" w:hAnsi="宋体" w:eastAsia="宋体" w:cs="宋体"/>
          <w:sz w:val="24"/>
        </w:rPr>
      </w:pPr>
    </w:p>
    <w:p w14:paraId="117BE748">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公司因工作关系需向其他单位、监管机构或个人提供未公开信息的，应在提供之前，确认已经与其签署保密协议或者对公司负有保密义务。</w:t>
      </w:r>
    </w:p>
    <w:p w14:paraId="7596EF52">
      <w:pPr>
        <w:tabs>
          <w:tab w:val="left" w:pos="1980"/>
        </w:tabs>
        <w:spacing w:line="298" w:lineRule="auto"/>
        <w:rPr>
          <w:rFonts w:hint="eastAsia" w:ascii="宋体" w:hAnsi="宋体" w:eastAsia="宋体" w:cs="宋体"/>
          <w:sz w:val="24"/>
        </w:rPr>
      </w:pPr>
    </w:p>
    <w:p w14:paraId="0B457E18">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非内幕信息知情人应自觉做到不打听内幕信息。非内幕信息知情人自知悉内幕信息后即成为内幕信息知情人，受本制度约束。</w:t>
      </w:r>
    </w:p>
    <w:p w14:paraId="1CED79B7">
      <w:pPr>
        <w:tabs>
          <w:tab w:val="left" w:pos="1980"/>
        </w:tabs>
        <w:spacing w:line="298" w:lineRule="auto"/>
        <w:rPr>
          <w:rFonts w:hint="eastAsia" w:ascii="宋体" w:hAnsi="宋体" w:eastAsia="宋体" w:cs="宋体"/>
          <w:sz w:val="24"/>
        </w:rPr>
      </w:pPr>
    </w:p>
    <w:p w14:paraId="0F75519C">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内幕信息知情人的登记备案</w:t>
      </w:r>
    </w:p>
    <w:p w14:paraId="5C0D5C76">
      <w:pPr>
        <w:spacing w:line="298" w:lineRule="auto"/>
        <w:ind w:left="3435"/>
        <w:rPr>
          <w:rFonts w:hint="eastAsia" w:ascii="宋体" w:hAnsi="宋体" w:eastAsia="宋体" w:cs="宋体"/>
          <w:sz w:val="24"/>
        </w:rPr>
      </w:pPr>
    </w:p>
    <w:p w14:paraId="4A4D1413">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根据监管机构的要求如实、完整记录内幕信息在公开前的报告、传递、编制、审核、披露等各环节所有内幕信息知情人名单，以及知情人知悉内幕信息的内容和时间等相关档案，供公司自查和相关监管机构查询。其中，属于公司涉及并购、重组等重大内幕信息的，公司应在内幕信息公开披露后5个交易日内，将相关内幕信息知情人名单报送监管机构备案。</w:t>
      </w:r>
    </w:p>
    <w:p w14:paraId="72BA75CA">
      <w:pPr>
        <w:tabs>
          <w:tab w:val="left" w:pos="1980"/>
        </w:tabs>
        <w:spacing w:line="298" w:lineRule="auto"/>
        <w:rPr>
          <w:rFonts w:hint="eastAsia" w:ascii="宋体" w:hAnsi="宋体" w:eastAsia="宋体" w:cs="宋体"/>
          <w:sz w:val="24"/>
        </w:rPr>
      </w:pPr>
    </w:p>
    <w:p w14:paraId="0070E49B">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在内幕信息依法公开披露前，公司按照本制度填写公司内幕信息知情人档案（详见附件一），及时记录商议筹划、论证咨询、合同订立等阶段及报告、传递、编制、决议、披露等环节的内幕信息知情人名单，及其知悉内幕信息的时间、地点、依据、方式、内容等信息。</w:t>
      </w:r>
    </w:p>
    <w:p w14:paraId="4292C535">
      <w:pPr>
        <w:tabs>
          <w:tab w:val="left" w:pos="1980"/>
        </w:tabs>
        <w:spacing w:line="298" w:lineRule="auto"/>
        <w:rPr>
          <w:rFonts w:hint="eastAsia" w:ascii="宋体" w:hAnsi="宋体" w:eastAsia="宋体" w:cs="宋体"/>
          <w:sz w:val="24"/>
        </w:rPr>
      </w:pPr>
    </w:p>
    <w:p w14:paraId="0137AF0B">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内幕信息知情人应根据监管要求，自获悉内幕信息之日起填写《内幕信息知情人登记表》，并于3个交易日内交董事会办公室备案。未及时填报的，董事会办公室有权要求内幕信息知情人于规定时间内填报；填写不全的，董事会办公室有权要求内幕信息知情人提供或补充其它有关信息。</w:t>
      </w:r>
    </w:p>
    <w:p w14:paraId="2ED9562C">
      <w:pPr>
        <w:tabs>
          <w:tab w:val="left" w:pos="1980"/>
        </w:tabs>
        <w:spacing w:line="298" w:lineRule="auto"/>
        <w:rPr>
          <w:rFonts w:hint="eastAsia" w:ascii="宋体" w:hAnsi="宋体" w:eastAsia="宋体" w:cs="宋体"/>
          <w:sz w:val="24"/>
        </w:rPr>
      </w:pPr>
    </w:p>
    <w:p w14:paraId="4CC9C42D">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根据中国证监会的规定，对内幕信息知情人买卖本公司股票及其衍生品种的情况进行自查（详见附件二）。发现内幕信息知情人进行内幕交易、泄露内幕信息或者建议他人利用内幕信息进行交易的，公司进行核实并依据其内幕信息知情人登记管理制度对相关人员进行责任追究，并在2个工作日内将有关情况及处理结果报送证券监管部门。</w:t>
      </w:r>
    </w:p>
    <w:p w14:paraId="74389FD8">
      <w:pPr>
        <w:tabs>
          <w:tab w:val="left" w:pos="1980"/>
        </w:tabs>
        <w:spacing w:line="298" w:lineRule="auto"/>
        <w:rPr>
          <w:rFonts w:hint="eastAsia" w:ascii="宋体" w:hAnsi="宋体" w:eastAsia="宋体" w:cs="宋体"/>
          <w:sz w:val="24"/>
        </w:rPr>
      </w:pPr>
    </w:p>
    <w:p w14:paraId="260EF3F1">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公司的股东、实际控制人及其关联方研究、发起涉及公司的重大事项，以及发生对公司股价有重大影响的其他事项时，应当填写本单位内幕信息知情人档案表。</w:t>
      </w:r>
    </w:p>
    <w:p w14:paraId="380865CC">
      <w:pPr>
        <w:tabs>
          <w:tab w:val="left" w:pos="1980"/>
        </w:tabs>
        <w:spacing w:line="298" w:lineRule="auto"/>
        <w:rPr>
          <w:rFonts w:hint="eastAsia" w:ascii="宋体" w:hAnsi="宋体" w:eastAsia="宋体" w:cs="宋体"/>
          <w:sz w:val="24"/>
        </w:rPr>
      </w:pPr>
    </w:p>
    <w:p w14:paraId="5DB3D4B6">
      <w:pPr>
        <w:tabs>
          <w:tab w:val="left" w:pos="1980"/>
        </w:tabs>
        <w:spacing w:line="298" w:lineRule="auto"/>
        <w:ind w:left="1438" w:leftChars="685"/>
        <w:rPr>
          <w:rFonts w:hint="eastAsia" w:ascii="宋体" w:hAnsi="宋体" w:eastAsia="宋体" w:cs="宋体"/>
          <w:sz w:val="24"/>
        </w:rPr>
      </w:pPr>
      <w:r>
        <w:rPr>
          <w:rFonts w:hint="eastAsia" w:ascii="宋体" w:hAnsi="宋体" w:eastAsia="宋体" w:cs="宋体"/>
          <w:sz w:val="24"/>
        </w:rPr>
        <w:t>证券公司、证券服务机构、律师事务所等中介机构接受委托从事证券服务业务，该受托事项对公司股价有重大影响的，应当填写本机构内幕信息知情人的档案。</w:t>
      </w:r>
    </w:p>
    <w:p w14:paraId="41E9BB3C">
      <w:pPr>
        <w:tabs>
          <w:tab w:val="left" w:pos="1980"/>
        </w:tabs>
        <w:spacing w:line="298" w:lineRule="auto"/>
        <w:ind w:left="1438" w:leftChars="685"/>
        <w:rPr>
          <w:rFonts w:hint="eastAsia" w:ascii="宋体" w:hAnsi="宋体" w:eastAsia="宋体" w:cs="宋体"/>
          <w:sz w:val="24"/>
        </w:rPr>
      </w:pPr>
    </w:p>
    <w:p w14:paraId="071DBAD8">
      <w:pPr>
        <w:tabs>
          <w:tab w:val="left" w:pos="1980"/>
        </w:tabs>
        <w:spacing w:line="298" w:lineRule="auto"/>
        <w:ind w:left="1438" w:leftChars="685"/>
        <w:rPr>
          <w:rFonts w:hint="eastAsia" w:ascii="宋体" w:hAnsi="宋体" w:eastAsia="宋体" w:cs="宋体"/>
          <w:sz w:val="24"/>
        </w:rPr>
      </w:pPr>
      <w:r>
        <w:rPr>
          <w:rFonts w:hint="eastAsia" w:ascii="宋体" w:hAnsi="宋体" w:eastAsia="宋体" w:cs="宋体"/>
          <w:sz w:val="24"/>
        </w:rPr>
        <w:t>收购人、重大资产重组交易对方以及涉及公司并对公司股价有重大影响事项的其他发起方，应当填写本单位内幕信息知情人的档案。</w:t>
      </w:r>
    </w:p>
    <w:p w14:paraId="2A4B974B">
      <w:pPr>
        <w:tabs>
          <w:tab w:val="left" w:pos="1980"/>
        </w:tabs>
        <w:spacing w:line="298" w:lineRule="auto"/>
        <w:ind w:left="1438" w:leftChars="685"/>
        <w:rPr>
          <w:rFonts w:hint="eastAsia" w:ascii="宋体" w:hAnsi="宋体" w:eastAsia="宋体" w:cs="宋体"/>
          <w:sz w:val="24"/>
        </w:rPr>
      </w:pPr>
    </w:p>
    <w:p w14:paraId="72F05B3B">
      <w:pPr>
        <w:tabs>
          <w:tab w:val="left" w:pos="1980"/>
        </w:tabs>
        <w:spacing w:line="298" w:lineRule="auto"/>
        <w:ind w:left="1438" w:leftChars="685"/>
        <w:rPr>
          <w:rFonts w:hint="eastAsia" w:ascii="宋体" w:hAnsi="宋体" w:eastAsia="宋体" w:cs="宋体"/>
          <w:sz w:val="24"/>
        </w:rPr>
      </w:pPr>
      <w:r>
        <w:rPr>
          <w:rFonts w:hint="eastAsia" w:ascii="宋体" w:hAnsi="宋体" w:eastAsia="宋体" w:cs="宋体"/>
          <w:sz w:val="24"/>
        </w:rPr>
        <w:t>上述主体应当根据事项进程将内幕信息知情人档案分阶段送达公司，但完整的内幕信息知情人档案的送达时间不得晚于内幕信息公开披露的时间。内幕信息知情人档案应当按照本制度附件一的要求进行填写。</w:t>
      </w:r>
    </w:p>
    <w:p w14:paraId="07E83359">
      <w:pPr>
        <w:tabs>
          <w:tab w:val="left" w:pos="1980"/>
        </w:tabs>
        <w:spacing w:line="298" w:lineRule="auto"/>
        <w:ind w:left="1438" w:leftChars="685"/>
        <w:rPr>
          <w:rFonts w:hint="eastAsia" w:ascii="宋体" w:hAnsi="宋体" w:eastAsia="宋体" w:cs="宋体"/>
          <w:sz w:val="24"/>
        </w:rPr>
      </w:pPr>
    </w:p>
    <w:p w14:paraId="004898EC">
      <w:pPr>
        <w:tabs>
          <w:tab w:val="left" w:pos="1980"/>
        </w:tabs>
        <w:spacing w:line="298" w:lineRule="auto"/>
        <w:ind w:left="1438" w:leftChars="685"/>
        <w:rPr>
          <w:rFonts w:hint="eastAsia" w:ascii="宋体" w:hAnsi="宋体" w:eastAsia="宋体" w:cs="宋体"/>
          <w:sz w:val="24"/>
        </w:rPr>
      </w:pPr>
      <w:r>
        <w:rPr>
          <w:rFonts w:hint="eastAsia" w:ascii="宋体" w:hAnsi="宋体" w:eastAsia="宋体" w:cs="宋体"/>
          <w:sz w:val="24"/>
        </w:rPr>
        <w:t>公司做好其所知悉的内幕信息流转环节的内幕信息知情人的登记，并做好本条第一款至第三款涉及各方内幕信息知情人档案的汇总。</w:t>
      </w:r>
    </w:p>
    <w:p w14:paraId="180424B4">
      <w:pPr>
        <w:tabs>
          <w:tab w:val="left" w:pos="1980"/>
        </w:tabs>
        <w:spacing w:line="298" w:lineRule="auto"/>
        <w:ind w:left="1438" w:leftChars="685"/>
        <w:rPr>
          <w:rFonts w:hint="eastAsia" w:ascii="宋体" w:hAnsi="宋体" w:eastAsia="宋体" w:cs="宋体"/>
          <w:sz w:val="24"/>
        </w:rPr>
      </w:pPr>
    </w:p>
    <w:p w14:paraId="654368EB">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在披露前按照相关法律法规政策要求需经常性向相关行政管理部门报送信息的，在报送部门、内容等未发生重大变化的情况下，可将其视为同一内幕信息事项，在同一张表格中登记行政管理部门的名称，并持续登记报送信息的时间。除上述情况外，内幕信息流转涉及到行政管理部门时，公司应当按照一事一记的方式在知情人档案中登记行政管理部门的名称、接触内幕信息的原因以及知悉内幕信息的时间。</w:t>
      </w:r>
    </w:p>
    <w:p w14:paraId="73137CD9">
      <w:pPr>
        <w:tabs>
          <w:tab w:val="left" w:pos="1980"/>
        </w:tabs>
        <w:spacing w:line="298" w:lineRule="auto"/>
        <w:rPr>
          <w:rFonts w:hint="eastAsia" w:ascii="宋体" w:hAnsi="宋体" w:eastAsia="宋体" w:cs="宋体"/>
          <w:sz w:val="24"/>
        </w:rPr>
      </w:pPr>
    </w:p>
    <w:p w14:paraId="166132D2">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进行收购、重大资产重组、发行证券、合并、分立、回购股份等重大事项，除按照本制度附件一填写公司内幕信息知情人档案外，还应当制作重大事项进程备忘录，内容包括但不限于筹划决策过程中各个关键时点的时间、参与筹划决策人员名单、筹划决策方式等。公司应当督促备忘录涉及的相关人员在备忘录上签名确认。公司股东、实际控制人及其关联方等相关主体应当配合制作重大事项进程备忘录。</w:t>
      </w:r>
    </w:p>
    <w:p w14:paraId="1917DF8A">
      <w:pPr>
        <w:tabs>
          <w:tab w:val="left" w:pos="1980"/>
        </w:tabs>
        <w:spacing w:line="298" w:lineRule="auto"/>
        <w:rPr>
          <w:rFonts w:hint="eastAsia" w:ascii="宋体" w:hAnsi="宋体" w:eastAsia="宋体" w:cs="宋体"/>
          <w:sz w:val="24"/>
        </w:rPr>
      </w:pPr>
    </w:p>
    <w:p w14:paraId="5CC3273D">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应当及时补充完善内幕信息知情人档案信息。内幕信息知情人档案自记录（含补充完善）之日起至少保存10年。中国证监会及其派出机构、深圳证券交易所可查询内幕信息知情人档案。公司进行本制度第二十二条所列重大事项的，应当在内幕信息依法公开披露后五个交易日内将内幕信息知情人档案及重大事项进程备忘录报送深圳证券交易所。深圳证券交易所可视情况要求公司披露重大事项进程备忘录中的相关内容。</w:t>
      </w:r>
    </w:p>
    <w:p w14:paraId="2A3D4445">
      <w:pPr>
        <w:tabs>
          <w:tab w:val="left" w:pos="1980"/>
        </w:tabs>
        <w:spacing w:line="298" w:lineRule="auto"/>
        <w:rPr>
          <w:rFonts w:hint="eastAsia" w:ascii="宋体" w:hAnsi="宋体" w:eastAsia="宋体" w:cs="宋体"/>
          <w:sz w:val="24"/>
        </w:rPr>
      </w:pPr>
    </w:p>
    <w:p w14:paraId="0385E760">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公司董事、高级管理人员、主要股东应当积极配合公司做好内幕信息知情人登记备案工作，及时提供公司内幕信息知情人情况以及相关内幕信息知情人的变更情况，填写《内幕信息知情人登记表》，报公司董事会办公室备案。</w:t>
      </w:r>
    </w:p>
    <w:p w14:paraId="5B09171A">
      <w:pPr>
        <w:tabs>
          <w:tab w:val="left" w:pos="1980"/>
        </w:tabs>
        <w:spacing w:line="298" w:lineRule="auto"/>
        <w:rPr>
          <w:rFonts w:hint="eastAsia" w:ascii="宋体" w:hAnsi="宋体" w:eastAsia="宋体" w:cs="宋体"/>
          <w:sz w:val="24"/>
        </w:rPr>
      </w:pPr>
    </w:p>
    <w:p w14:paraId="571C1E99">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法律责任</w:t>
      </w:r>
    </w:p>
    <w:p w14:paraId="4AC8702A">
      <w:pPr>
        <w:tabs>
          <w:tab w:val="left" w:pos="2410"/>
        </w:tabs>
        <w:spacing w:line="298" w:lineRule="auto"/>
        <w:ind w:left="1418"/>
        <w:rPr>
          <w:rFonts w:hint="eastAsia" w:ascii="宋体" w:hAnsi="宋体" w:eastAsia="宋体" w:cs="宋体"/>
          <w:sz w:val="24"/>
        </w:rPr>
      </w:pPr>
    </w:p>
    <w:p w14:paraId="0B60DF17">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内幕信息知情人将获悉的内幕信息对外泄露，或者利用内幕信息进行内幕交易或者建议他人利用内幕信息进行交易，给公司造成严重影响或损失的，由公司董事会对相关责任人进行责任追究。证券监管部门及深圳证券交易所的处分或处罚不影响公司对其进行处罚。</w:t>
      </w:r>
    </w:p>
    <w:p w14:paraId="1A0F878D">
      <w:pPr>
        <w:tabs>
          <w:tab w:val="left" w:pos="1980"/>
        </w:tabs>
        <w:spacing w:line="298" w:lineRule="auto"/>
        <w:rPr>
          <w:rFonts w:hint="eastAsia" w:ascii="宋体" w:hAnsi="宋体" w:eastAsia="宋体" w:cs="宋体"/>
          <w:sz w:val="24"/>
        </w:rPr>
      </w:pPr>
    </w:p>
    <w:p w14:paraId="46C94874">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证券服务机构及其人员、持有公司5%以上股份的股东等可以接触、获取公司内幕信息的外部相关人员，擅自披露公司信息，给公司造成损失的，公司保留追究其责任的权利。</w:t>
      </w:r>
    </w:p>
    <w:p w14:paraId="2699E756">
      <w:pPr>
        <w:tabs>
          <w:tab w:val="left" w:pos="1980"/>
        </w:tabs>
        <w:spacing w:line="298" w:lineRule="auto"/>
        <w:rPr>
          <w:rFonts w:hint="eastAsia" w:ascii="宋体" w:hAnsi="宋体" w:eastAsia="宋体" w:cs="宋体"/>
          <w:sz w:val="24"/>
        </w:rPr>
      </w:pPr>
    </w:p>
    <w:p w14:paraId="24C3312B">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内幕信息知情人违反国家有关法律、法规及本制度规定，利用内幕信息操纵股价或进行内幕交易造成严重后果，构成犯罪的，移交司法机关处理。</w:t>
      </w:r>
    </w:p>
    <w:p w14:paraId="516491AD">
      <w:pPr>
        <w:tabs>
          <w:tab w:val="left" w:pos="1980"/>
        </w:tabs>
        <w:spacing w:line="298" w:lineRule="auto"/>
        <w:rPr>
          <w:rFonts w:hint="eastAsia" w:ascii="宋体" w:hAnsi="宋体" w:eastAsia="宋体" w:cs="宋体"/>
          <w:sz w:val="24"/>
        </w:rPr>
      </w:pPr>
    </w:p>
    <w:p w14:paraId="7C9331DC">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附  则</w:t>
      </w:r>
    </w:p>
    <w:p w14:paraId="2B675E3B">
      <w:pPr>
        <w:tabs>
          <w:tab w:val="left" w:pos="1980"/>
        </w:tabs>
        <w:spacing w:line="298" w:lineRule="auto"/>
        <w:ind w:left="1440"/>
        <w:rPr>
          <w:rFonts w:hint="eastAsia" w:ascii="宋体" w:hAnsi="宋体" w:eastAsia="宋体" w:cs="宋体"/>
          <w:sz w:val="24"/>
        </w:rPr>
      </w:pPr>
    </w:p>
    <w:p w14:paraId="5499C755">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本制度为《信息披露管理制度》的补充，为公司信息披露制度体系的重要组成部分。</w:t>
      </w:r>
    </w:p>
    <w:p w14:paraId="5BF2CECE">
      <w:pPr>
        <w:tabs>
          <w:tab w:val="left" w:pos="1980"/>
        </w:tabs>
        <w:spacing w:line="298" w:lineRule="auto"/>
        <w:rPr>
          <w:rFonts w:hint="eastAsia" w:ascii="宋体" w:hAnsi="宋体" w:eastAsia="宋体" w:cs="宋体"/>
          <w:sz w:val="24"/>
        </w:rPr>
      </w:pPr>
    </w:p>
    <w:p w14:paraId="26C5A8C4">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未尽事宜，依照国家有关法律、法规、规范性文件以及《公司章程》的有关规定执行。本制度与有关法律、法规、规范性文件以及《公司章程》的有关规定不一致的，以有关法律、法规、规范性文件以及《公司章程》的规定为准。</w:t>
      </w:r>
    </w:p>
    <w:p w14:paraId="7A5D8D2E">
      <w:pPr>
        <w:tabs>
          <w:tab w:val="left" w:pos="1980"/>
        </w:tabs>
        <w:spacing w:line="298" w:lineRule="auto"/>
        <w:rPr>
          <w:rFonts w:hint="eastAsia" w:ascii="宋体" w:hAnsi="宋体" w:eastAsia="宋体" w:cs="宋体"/>
          <w:sz w:val="24"/>
        </w:rPr>
      </w:pPr>
    </w:p>
    <w:p w14:paraId="30AF1ED7">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本制度由公司董事会负责修订与解释。</w:t>
      </w:r>
    </w:p>
    <w:p w14:paraId="11491715">
      <w:pPr>
        <w:tabs>
          <w:tab w:val="left" w:pos="1980"/>
        </w:tabs>
        <w:spacing w:line="298" w:lineRule="auto"/>
        <w:ind w:left="1440"/>
        <w:rPr>
          <w:rFonts w:hint="eastAsia" w:ascii="宋体" w:hAnsi="宋体" w:eastAsia="宋体" w:cs="宋体"/>
          <w:sz w:val="24"/>
        </w:rPr>
      </w:pPr>
    </w:p>
    <w:p w14:paraId="42039507">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pPr>
      <w:r>
        <w:rPr>
          <w:rFonts w:hint="eastAsia" w:ascii="宋体" w:hAnsi="宋体" w:eastAsia="宋体" w:cs="宋体"/>
          <w:sz w:val="24"/>
        </w:rPr>
        <w:t>本制度自董事会审议通过之日起生效，修改时亦同。</w:t>
      </w:r>
    </w:p>
    <w:p w14:paraId="3033804D">
      <w:pPr>
        <w:numPr>
          <w:ilvl w:val="1"/>
          <w:numId w:val="2"/>
        </w:numPr>
        <w:tabs>
          <w:tab w:val="left" w:pos="1440"/>
          <w:tab w:val="left" w:pos="1980"/>
          <w:tab w:val="clear" w:pos="816"/>
        </w:tabs>
        <w:spacing w:line="298" w:lineRule="auto"/>
        <w:ind w:left="1440" w:hanging="1440"/>
        <w:rPr>
          <w:rFonts w:hint="eastAsia" w:ascii="宋体" w:hAnsi="宋体" w:eastAsia="宋体" w:cs="宋体"/>
          <w:sz w:val="24"/>
        </w:rPr>
        <w:sectPr>
          <w:headerReference r:id="rId3" w:type="default"/>
          <w:footerReference r:id="rId4" w:type="default"/>
          <w:footerReference r:id="rId5" w:type="even"/>
          <w:pgSz w:w="11906" w:h="16838"/>
          <w:pgMar w:top="1585" w:right="1418" w:bottom="1701" w:left="1418" w:header="851" w:footer="992" w:gutter="0"/>
          <w:cols w:space="720" w:num="1"/>
          <w:docGrid w:type="lines" w:linePitch="312" w:charSpace="0"/>
        </w:sectPr>
      </w:pPr>
    </w:p>
    <w:p w14:paraId="7CEA1403">
      <w:pPr>
        <w:spacing w:line="560" w:lineRule="exact"/>
        <w:rPr>
          <w:rFonts w:hint="eastAsia" w:ascii="宋体" w:hAnsi="宋体" w:eastAsia="宋体" w:cs="宋体"/>
          <w:sz w:val="24"/>
        </w:rPr>
      </w:pPr>
      <w:r>
        <w:rPr>
          <w:rFonts w:hint="eastAsia" w:ascii="宋体" w:hAnsi="宋体" w:eastAsia="宋体" w:cs="宋体"/>
          <w:sz w:val="24"/>
        </w:rPr>
        <w:t>附件一</w:t>
      </w:r>
    </w:p>
    <w:p w14:paraId="45B715B4">
      <w:pPr>
        <w:spacing w:line="298" w:lineRule="auto"/>
        <w:jc w:val="center"/>
        <w:rPr>
          <w:rFonts w:hint="eastAsia" w:ascii="宋体" w:hAnsi="宋体" w:eastAsia="宋体" w:cs="宋体"/>
          <w:b/>
          <w:sz w:val="32"/>
          <w:szCs w:val="32"/>
        </w:rPr>
      </w:pPr>
      <w:r>
        <w:rPr>
          <w:rFonts w:hint="eastAsia" w:ascii="宋体" w:hAnsi="宋体" w:eastAsia="宋体" w:cs="宋体"/>
          <w:b/>
          <w:sz w:val="32"/>
          <w:szCs w:val="32"/>
        </w:rPr>
        <w:t>永兴特种材料科技股份有限公司内幕信息知情人档案格式</w:t>
      </w:r>
    </w:p>
    <w:p w14:paraId="356633DB">
      <w:pPr>
        <w:spacing w:line="560" w:lineRule="exact"/>
        <w:rPr>
          <w:rFonts w:hint="eastAsia" w:ascii="宋体" w:hAnsi="宋体" w:eastAsia="宋体" w:cs="宋体"/>
          <w:sz w:val="30"/>
        </w:rPr>
      </w:pPr>
    </w:p>
    <w:p w14:paraId="570A1FB3">
      <w:pPr>
        <w:spacing w:line="560" w:lineRule="exact"/>
        <w:rPr>
          <w:rFonts w:hint="eastAsia" w:ascii="宋体" w:hAnsi="宋体" w:eastAsia="宋体" w:cs="宋体"/>
          <w:sz w:val="30"/>
        </w:rPr>
      </w:pPr>
      <w:r>
        <w:rPr>
          <w:rFonts w:hint="eastAsia" w:ascii="宋体" w:hAnsi="宋体" w:eastAsia="宋体" w:cs="宋体"/>
          <w:sz w:val="30"/>
        </w:rPr>
        <w:t>内幕信息事项（注1）：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4"/>
        <w:gridCol w:w="1440"/>
        <w:gridCol w:w="1440"/>
        <w:gridCol w:w="1440"/>
        <w:gridCol w:w="1440"/>
        <w:gridCol w:w="1796"/>
        <w:gridCol w:w="1440"/>
        <w:gridCol w:w="1186"/>
        <w:gridCol w:w="1186"/>
      </w:tblGrid>
      <w:tr w14:paraId="50C3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017D566B">
            <w:pPr>
              <w:spacing w:line="360" w:lineRule="auto"/>
              <w:rPr>
                <w:rFonts w:hint="eastAsia" w:ascii="宋体" w:hAnsi="宋体" w:eastAsia="宋体" w:cs="宋体"/>
                <w:spacing w:val="-20"/>
                <w:sz w:val="24"/>
              </w:rPr>
            </w:pPr>
            <w:r>
              <w:rPr>
                <w:rFonts w:hint="eastAsia" w:ascii="宋体" w:hAnsi="宋体" w:eastAsia="宋体" w:cs="宋体"/>
                <w:spacing w:val="-20"/>
                <w:sz w:val="24"/>
              </w:rPr>
              <w:t>序号</w:t>
            </w:r>
          </w:p>
        </w:tc>
        <w:tc>
          <w:tcPr>
            <w:tcW w:w="1804" w:type="dxa"/>
            <w:noWrap w:val="0"/>
            <w:vAlign w:val="center"/>
          </w:tcPr>
          <w:p w14:paraId="13F83165">
            <w:pPr>
              <w:spacing w:line="360" w:lineRule="auto"/>
              <w:jc w:val="center"/>
              <w:rPr>
                <w:rFonts w:hint="eastAsia" w:ascii="宋体" w:hAnsi="宋体" w:eastAsia="宋体" w:cs="宋体"/>
                <w:sz w:val="24"/>
              </w:rPr>
            </w:pPr>
            <w:r>
              <w:rPr>
                <w:rFonts w:hint="eastAsia" w:ascii="宋体" w:hAnsi="宋体" w:eastAsia="宋体" w:cs="宋体"/>
                <w:sz w:val="24"/>
              </w:rPr>
              <w:t>内幕信息</w:t>
            </w:r>
          </w:p>
          <w:p w14:paraId="6EAD9DDC">
            <w:pPr>
              <w:spacing w:line="360" w:lineRule="auto"/>
              <w:jc w:val="center"/>
              <w:rPr>
                <w:rFonts w:hint="eastAsia" w:ascii="宋体" w:hAnsi="宋体" w:eastAsia="宋体" w:cs="宋体"/>
                <w:sz w:val="24"/>
              </w:rPr>
            </w:pPr>
            <w:r>
              <w:rPr>
                <w:rFonts w:hint="eastAsia" w:ascii="宋体" w:hAnsi="宋体" w:eastAsia="宋体" w:cs="宋体"/>
                <w:sz w:val="24"/>
              </w:rPr>
              <w:t>知情人姓名</w:t>
            </w:r>
          </w:p>
        </w:tc>
        <w:tc>
          <w:tcPr>
            <w:tcW w:w="1440" w:type="dxa"/>
            <w:noWrap w:val="0"/>
            <w:vAlign w:val="center"/>
          </w:tcPr>
          <w:p w14:paraId="3D737640">
            <w:pPr>
              <w:spacing w:line="360" w:lineRule="auto"/>
              <w:jc w:val="center"/>
              <w:rPr>
                <w:rFonts w:hint="eastAsia" w:ascii="宋体" w:hAnsi="宋体" w:eastAsia="宋体" w:cs="宋体"/>
                <w:sz w:val="24"/>
              </w:rPr>
            </w:pPr>
            <w:r>
              <w:rPr>
                <w:rFonts w:hint="eastAsia" w:ascii="宋体" w:hAnsi="宋体" w:eastAsia="宋体" w:cs="宋体"/>
                <w:sz w:val="24"/>
              </w:rPr>
              <w:t>身份证号码</w:t>
            </w:r>
          </w:p>
        </w:tc>
        <w:tc>
          <w:tcPr>
            <w:tcW w:w="1440" w:type="dxa"/>
            <w:noWrap w:val="0"/>
            <w:vAlign w:val="center"/>
          </w:tcPr>
          <w:p w14:paraId="15AEB36E">
            <w:pPr>
              <w:spacing w:line="360" w:lineRule="auto"/>
              <w:jc w:val="center"/>
              <w:rPr>
                <w:rFonts w:hint="eastAsia" w:ascii="宋体" w:hAnsi="宋体" w:eastAsia="宋体" w:cs="宋体"/>
                <w:sz w:val="24"/>
              </w:rPr>
            </w:pPr>
            <w:r>
              <w:rPr>
                <w:rFonts w:hint="eastAsia" w:ascii="宋体" w:hAnsi="宋体" w:eastAsia="宋体" w:cs="宋体"/>
                <w:sz w:val="24"/>
              </w:rPr>
              <w:t>知悉内幕</w:t>
            </w:r>
          </w:p>
          <w:p w14:paraId="599CA2E6">
            <w:pPr>
              <w:spacing w:line="360" w:lineRule="auto"/>
              <w:jc w:val="center"/>
              <w:rPr>
                <w:rFonts w:hint="eastAsia" w:ascii="宋体" w:hAnsi="宋体" w:eastAsia="宋体" w:cs="宋体"/>
                <w:sz w:val="24"/>
              </w:rPr>
            </w:pPr>
            <w:r>
              <w:rPr>
                <w:rFonts w:hint="eastAsia" w:ascii="宋体" w:hAnsi="宋体" w:eastAsia="宋体" w:cs="宋体"/>
                <w:sz w:val="24"/>
              </w:rPr>
              <w:t>信息时间</w:t>
            </w:r>
          </w:p>
        </w:tc>
        <w:tc>
          <w:tcPr>
            <w:tcW w:w="1440" w:type="dxa"/>
            <w:noWrap w:val="0"/>
            <w:vAlign w:val="center"/>
          </w:tcPr>
          <w:p w14:paraId="22296425">
            <w:pPr>
              <w:spacing w:line="360" w:lineRule="auto"/>
              <w:jc w:val="center"/>
              <w:rPr>
                <w:rFonts w:hint="eastAsia" w:ascii="宋体" w:hAnsi="宋体" w:eastAsia="宋体" w:cs="宋体"/>
                <w:sz w:val="24"/>
              </w:rPr>
            </w:pPr>
            <w:r>
              <w:rPr>
                <w:rFonts w:hint="eastAsia" w:ascii="宋体" w:hAnsi="宋体" w:eastAsia="宋体" w:cs="宋体"/>
                <w:sz w:val="24"/>
              </w:rPr>
              <w:t>知悉内幕</w:t>
            </w:r>
          </w:p>
          <w:p w14:paraId="605A81A4">
            <w:pPr>
              <w:spacing w:line="360" w:lineRule="auto"/>
              <w:jc w:val="center"/>
              <w:rPr>
                <w:rFonts w:hint="eastAsia" w:ascii="宋体" w:hAnsi="宋体" w:eastAsia="宋体" w:cs="宋体"/>
                <w:sz w:val="24"/>
              </w:rPr>
            </w:pPr>
            <w:r>
              <w:rPr>
                <w:rFonts w:hint="eastAsia" w:ascii="宋体" w:hAnsi="宋体" w:eastAsia="宋体" w:cs="宋体"/>
                <w:sz w:val="24"/>
              </w:rPr>
              <w:t>信息地点</w:t>
            </w:r>
          </w:p>
        </w:tc>
        <w:tc>
          <w:tcPr>
            <w:tcW w:w="1440" w:type="dxa"/>
            <w:noWrap w:val="0"/>
            <w:vAlign w:val="center"/>
          </w:tcPr>
          <w:p w14:paraId="46536377">
            <w:pPr>
              <w:spacing w:line="360" w:lineRule="auto"/>
              <w:jc w:val="center"/>
              <w:rPr>
                <w:rFonts w:hint="eastAsia" w:ascii="宋体" w:hAnsi="宋体" w:eastAsia="宋体" w:cs="宋体"/>
                <w:sz w:val="24"/>
              </w:rPr>
            </w:pPr>
            <w:r>
              <w:rPr>
                <w:rFonts w:hint="eastAsia" w:ascii="宋体" w:hAnsi="宋体" w:eastAsia="宋体" w:cs="宋体"/>
                <w:sz w:val="24"/>
              </w:rPr>
              <w:t>知悉内幕</w:t>
            </w:r>
          </w:p>
          <w:p w14:paraId="4E204776">
            <w:pPr>
              <w:spacing w:line="360" w:lineRule="auto"/>
              <w:jc w:val="center"/>
              <w:rPr>
                <w:rFonts w:hint="eastAsia" w:ascii="宋体" w:hAnsi="宋体" w:eastAsia="宋体" w:cs="宋体"/>
                <w:sz w:val="24"/>
              </w:rPr>
            </w:pPr>
            <w:r>
              <w:rPr>
                <w:rFonts w:hint="eastAsia" w:ascii="宋体" w:hAnsi="宋体" w:eastAsia="宋体" w:cs="宋体"/>
                <w:sz w:val="24"/>
              </w:rPr>
              <w:t>信息方式</w:t>
            </w:r>
          </w:p>
        </w:tc>
        <w:tc>
          <w:tcPr>
            <w:tcW w:w="1796" w:type="dxa"/>
            <w:noWrap w:val="0"/>
            <w:vAlign w:val="center"/>
          </w:tcPr>
          <w:p w14:paraId="3DD7FBFB">
            <w:pPr>
              <w:spacing w:line="360" w:lineRule="auto"/>
              <w:jc w:val="center"/>
              <w:rPr>
                <w:rFonts w:hint="eastAsia" w:ascii="宋体" w:hAnsi="宋体" w:eastAsia="宋体" w:cs="宋体"/>
                <w:sz w:val="24"/>
              </w:rPr>
            </w:pPr>
            <w:r>
              <w:rPr>
                <w:rFonts w:hint="eastAsia" w:ascii="宋体" w:hAnsi="宋体" w:eastAsia="宋体" w:cs="宋体"/>
                <w:sz w:val="24"/>
              </w:rPr>
              <w:t>内幕信息内容</w:t>
            </w:r>
          </w:p>
        </w:tc>
        <w:tc>
          <w:tcPr>
            <w:tcW w:w="1440" w:type="dxa"/>
            <w:noWrap w:val="0"/>
            <w:vAlign w:val="center"/>
          </w:tcPr>
          <w:p w14:paraId="13941CDB">
            <w:pPr>
              <w:spacing w:line="360" w:lineRule="auto"/>
              <w:jc w:val="center"/>
              <w:rPr>
                <w:rFonts w:hint="eastAsia" w:ascii="宋体" w:hAnsi="宋体" w:eastAsia="宋体" w:cs="宋体"/>
                <w:sz w:val="24"/>
              </w:rPr>
            </w:pPr>
            <w:r>
              <w:rPr>
                <w:rFonts w:hint="eastAsia" w:ascii="宋体" w:hAnsi="宋体" w:eastAsia="宋体" w:cs="宋体"/>
                <w:sz w:val="24"/>
              </w:rPr>
              <w:t>内幕信息</w:t>
            </w:r>
          </w:p>
          <w:p w14:paraId="463DD2F6">
            <w:pPr>
              <w:spacing w:line="360" w:lineRule="auto"/>
              <w:jc w:val="center"/>
              <w:rPr>
                <w:rFonts w:hint="eastAsia" w:ascii="宋体" w:hAnsi="宋体" w:eastAsia="宋体" w:cs="宋体"/>
                <w:sz w:val="24"/>
              </w:rPr>
            </w:pPr>
            <w:r>
              <w:rPr>
                <w:rFonts w:hint="eastAsia" w:ascii="宋体" w:hAnsi="宋体" w:eastAsia="宋体" w:cs="宋体"/>
                <w:sz w:val="24"/>
              </w:rPr>
              <w:t>所处阶段</w:t>
            </w:r>
          </w:p>
        </w:tc>
        <w:tc>
          <w:tcPr>
            <w:tcW w:w="1186" w:type="dxa"/>
            <w:noWrap w:val="0"/>
            <w:vAlign w:val="center"/>
          </w:tcPr>
          <w:p w14:paraId="1664F9B5">
            <w:pPr>
              <w:spacing w:line="360" w:lineRule="auto"/>
              <w:jc w:val="center"/>
              <w:rPr>
                <w:rFonts w:hint="eastAsia" w:ascii="宋体" w:hAnsi="宋体" w:eastAsia="宋体" w:cs="宋体"/>
                <w:sz w:val="24"/>
              </w:rPr>
            </w:pPr>
            <w:r>
              <w:rPr>
                <w:rFonts w:hint="eastAsia" w:ascii="宋体" w:hAnsi="宋体" w:eastAsia="宋体" w:cs="宋体"/>
                <w:sz w:val="24"/>
              </w:rPr>
              <w:t>登记时间</w:t>
            </w:r>
          </w:p>
        </w:tc>
        <w:tc>
          <w:tcPr>
            <w:tcW w:w="1186" w:type="dxa"/>
            <w:noWrap w:val="0"/>
            <w:vAlign w:val="center"/>
          </w:tcPr>
          <w:p w14:paraId="36915549">
            <w:pPr>
              <w:spacing w:line="360" w:lineRule="auto"/>
              <w:jc w:val="center"/>
              <w:rPr>
                <w:rFonts w:hint="eastAsia" w:ascii="宋体" w:hAnsi="宋体" w:eastAsia="宋体" w:cs="宋体"/>
                <w:sz w:val="24"/>
              </w:rPr>
            </w:pPr>
            <w:r>
              <w:rPr>
                <w:rFonts w:hint="eastAsia" w:ascii="宋体" w:hAnsi="宋体" w:eastAsia="宋体" w:cs="宋体"/>
                <w:sz w:val="24"/>
              </w:rPr>
              <w:t>登记人</w:t>
            </w:r>
          </w:p>
        </w:tc>
      </w:tr>
      <w:tr w14:paraId="0F39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72777122">
            <w:pPr>
              <w:spacing w:line="360" w:lineRule="auto"/>
              <w:rPr>
                <w:rFonts w:hint="eastAsia" w:ascii="宋体" w:hAnsi="宋体" w:eastAsia="宋体" w:cs="宋体"/>
                <w:sz w:val="24"/>
              </w:rPr>
            </w:pPr>
          </w:p>
        </w:tc>
        <w:tc>
          <w:tcPr>
            <w:tcW w:w="1804" w:type="dxa"/>
            <w:noWrap w:val="0"/>
            <w:vAlign w:val="top"/>
          </w:tcPr>
          <w:p w14:paraId="1787A6E3">
            <w:pPr>
              <w:spacing w:line="360" w:lineRule="auto"/>
              <w:rPr>
                <w:rFonts w:hint="eastAsia" w:ascii="宋体" w:hAnsi="宋体" w:eastAsia="宋体" w:cs="宋体"/>
                <w:sz w:val="24"/>
              </w:rPr>
            </w:pPr>
          </w:p>
        </w:tc>
        <w:tc>
          <w:tcPr>
            <w:tcW w:w="1440" w:type="dxa"/>
            <w:noWrap w:val="0"/>
            <w:vAlign w:val="top"/>
          </w:tcPr>
          <w:p w14:paraId="11C89413">
            <w:pPr>
              <w:spacing w:line="360" w:lineRule="auto"/>
              <w:rPr>
                <w:rFonts w:hint="eastAsia" w:ascii="宋体" w:hAnsi="宋体" w:eastAsia="宋体" w:cs="宋体"/>
                <w:sz w:val="24"/>
              </w:rPr>
            </w:pPr>
          </w:p>
        </w:tc>
        <w:tc>
          <w:tcPr>
            <w:tcW w:w="1440" w:type="dxa"/>
            <w:noWrap w:val="0"/>
            <w:vAlign w:val="top"/>
          </w:tcPr>
          <w:p w14:paraId="42B32575">
            <w:pPr>
              <w:spacing w:line="360" w:lineRule="auto"/>
              <w:rPr>
                <w:rFonts w:hint="eastAsia" w:ascii="宋体" w:hAnsi="宋体" w:eastAsia="宋体" w:cs="宋体"/>
                <w:sz w:val="24"/>
              </w:rPr>
            </w:pPr>
          </w:p>
        </w:tc>
        <w:tc>
          <w:tcPr>
            <w:tcW w:w="1440" w:type="dxa"/>
            <w:noWrap w:val="0"/>
            <w:vAlign w:val="top"/>
          </w:tcPr>
          <w:p w14:paraId="26545C42">
            <w:pPr>
              <w:spacing w:line="360" w:lineRule="auto"/>
              <w:rPr>
                <w:rFonts w:hint="eastAsia" w:ascii="宋体" w:hAnsi="宋体" w:eastAsia="宋体" w:cs="宋体"/>
                <w:sz w:val="24"/>
              </w:rPr>
            </w:pPr>
          </w:p>
        </w:tc>
        <w:tc>
          <w:tcPr>
            <w:tcW w:w="1440" w:type="dxa"/>
            <w:noWrap w:val="0"/>
            <w:vAlign w:val="top"/>
          </w:tcPr>
          <w:p w14:paraId="4C61EBD1">
            <w:pPr>
              <w:spacing w:line="360" w:lineRule="auto"/>
              <w:rPr>
                <w:rFonts w:hint="eastAsia" w:ascii="宋体" w:hAnsi="宋体" w:eastAsia="宋体" w:cs="宋体"/>
                <w:sz w:val="24"/>
              </w:rPr>
            </w:pPr>
            <w:r>
              <w:rPr>
                <w:rFonts w:hint="eastAsia" w:ascii="宋体" w:hAnsi="宋体" w:eastAsia="宋体" w:cs="宋体"/>
                <w:sz w:val="24"/>
              </w:rPr>
              <w:t>注2</w:t>
            </w:r>
          </w:p>
        </w:tc>
        <w:tc>
          <w:tcPr>
            <w:tcW w:w="1796" w:type="dxa"/>
            <w:noWrap w:val="0"/>
            <w:vAlign w:val="top"/>
          </w:tcPr>
          <w:p w14:paraId="055CFC68">
            <w:pPr>
              <w:spacing w:line="360" w:lineRule="auto"/>
              <w:rPr>
                <w:rFonts w:hint="eastAsia" w:ascii="宋体" w:hAnsi="宋体" w:eastAsia="宋体" w:cs="宋体"/>
                <w:sz w:val="24"/>
              </w:rPr>
            </w:pPr>
            <w:r>
              <w:rPr>
                <w:rFonts w:hint="eastAsia" w:ascii="宋体" w:hAnsi="宋体" w:eastAsia="宋体" w:cs="宋体"/>
                <w:sz w:val="24"/>
              </w:rPr>
              <w:t>注3</w:t>
            </w:r>
          </w:p>
        </w:tc>
        <w:tc>
          <w:tcPr>
            <w:tcW w:w="1440" w:type="dxa"/>
            <w:noWrap w:val="0"/>
            <w:vAlign w:val="top"/>
          </w:tcPr>
          <w:p w14:paraId="7F728438">
            <w:pPr>
              <w:spacing w:line="360" w:lineRule="auto"/>
              <w:rPr>
                <w:rFonts w:hint="eastAsia" w:ascii="宋体" w:hAnsi="宋体" w:eastAsia="宋体" w:cs="宋体"/>
                <w:sz w:val="24"/>
              </w:rPr>
            </w:pPr>
            <w:r>
              <w:rPr>
                <w:rFonts w:hint="eastAsia" w:ascii="宋体" w:hAnsi="宋体" w:eastAsia="宋体" w:cs="宋体"/>
                <w:sz w:val="24"/>
              </w:rPr>
              <w:t>注4</w:t>
            </w:r>
          </w:p>
        </w:tc>
        <w:tc>
          <w:tcPr>
            <w:tcW w:w="1186" w:type="dxa"/>
            <w:noWrap w:val="0"/>
            <w:vAlign w:val="top"/>
          </w:tcPr>
          <w:p w14:paraId="39CB2F85">
            <w:pPr>
              <w:spacing w:line="360" w:lineRule="auto"/>
              <w:rPr>
                <w:rFonts w:hint="eastAsia" w:ascii="宋体" w:hAnsi="宋体" w:eastAsia="宋体" w:cs="宋体"/>
                <w:sz w:val="24"/>
              </w:rPr>
            </w:pPr>
          </w:p>
        </w:tc>
        <w:tc>
          <w:tcPr>
            <w:tcW w:w="1186" w:type="dxa"/>
            <w:noWrap w:val="0"/>
            <w:vAlign w:val="top"/>
          </w:tcPr>
          <w:p w14:paraId="4B9E9067">
            <w:pPr>
              <w:spacing w:line="360" w:lineRule="auto"/>
              <w:rPr>
                <w:rFonts w:hint="eastAsia" w:ascii="宋体" w:hAnsi="宋体" w:eastAsia="宋体" w:cs="宋体"/>
                <w:sz w:val="24"/>
              </w:rPr>
            </w:pPr>
            <w:r>
              <w:rPr>
                <w:rFonts w:hint="eastAsia" w:ascii="宋体" w:hAnsi="宋体" w:eastAsia="宋体" w:cs="宋体"/>
                <w:sz w:val="24"/>
              </w:rPr>
              <w:t>注5</w:t>
            </w:r>
          </w:p>
        </w:tc>
      </w:tr>
      <w:tr w14:paraId="2096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0C79185F">
            <w:pPr>
              <w:spacing w:line="360" w:lineRule="auto"/>
              <w:rPr>
                <w:rFonts w:hint="eastAsia" w:ascii="宋体" w:hAnsi="宋体" w:eastAsia="宋体" w:cs="宋体"/>
                <w:sz w:val="24"/>
              </w:rPr>
            </w:pPr>
          </w:p>
        </w:tc>
        <w:tc>
          <w:tcPr>
            <w:tcW w:w="1804" w:type="dxa"/>
            <w:noWrap w:val="0"/>
            <w:vAlign w:val="top"/>
          </w:tcPr>
          <w:p w14:paraId="185D5FA6">
            <w:pPr>
              <w:spacing w:line="360" w:lineRule="auto"/>
              <w:rPr>
                <w:rFonts w:hint="eastAsia" w:ascii="宋体" w:hAnsi="宋体" w:eastAsia="宋体" w:cs="宋体"/>
                <w:sz w:val="24"/>
              </w:rPr>
            </w:pPr>
          </w:p>
        </w:tc>
        <w:tc>
          <w:tcPr>
            <w:tcW w:w="1440" w:type="dxa"/>
            <w:noWrap w:val="0"/>
            <w:vAlign w:val="top"/>
          </w:tcPr>
          <w:p w14:paraId="431A67A1">
            <w:pPr>
              <w:spacing w:line="360" w:lineRule="auto"/>
              <w:rPr>
                <w:rFonts w:hint="eastAsia" w:ascii="宋体" w:hAnsi="宋体" w:eastAsia="宋体" w:cs="宋体"/>
                <w:sz w:val="24"/>
              </w:rPr>
            </w:pPr>
          </w:p>
        </w:tc>
        <w:tc>
          <w:tcPr>
            <w:tcW w:w="1440" w:type="dxa"/>
            <w:noWrap w:val="0"/>
            <w:vAlign w:val="top"/>
          </w:tcPr>
          <w:p w14:paraId="5145796D">
            <w:pPr>
              <w:spacing w:line="360" w:lineRule="auto"/>
              <w:rPr>
                <w:rFonts w:hint="eastAsia" w:ascii="宋体" w:hAnsi="宋体" w:eastAsia="宋体" w:cs="宋体"/>
                <w:sz w:val="24"/>
              </w:rPr>
            </w:pPr>
          </w:p>
        </w:tc>
        <w:tc>
          <w:tcPr>
            <w:tcW w:w="1440" w:type="dxa"/>
            <w:noWrap w:val="0"/>
            <w:vAlign w:val="top"/>
          </w:tcPr>
          <w:p w14:paraId="4D44BB22">
            <w:pPr>
              <w:spacing w:line="360" w:lineRule="auto"/>
              <w:rPr>
                <w:rFonts w:hint="eastAsia" w:ascii="宋体" w:hAnsi="宋体" w:eastAsia="宋体" w:cs="宋体"/>
                <w:sz w:val="24"/>
              </w:rPr>
            </w:pPr>
          </w:p>
        </w:tc>
        <w:tc>
          <w:tcPr>
            <w:tcW w:w="1440" w:type="dxa"/>
            <w:noWrap w:val="0"/>
            <w:vAlign w:val="top"/>
          </w:tcPr>
          <w:p w14:paraId="6DACEBE4">
            <w:pPr>
              <w:spacing w:line="360" w:lineRule="auto"/>
              <w:rPr>
                <w:rFonts w:hint="eastAsia" w:ascii="宋体" w:hAnsi="宋体" w:eastAsia="宋体" w:cs="宋体"/>
                <w:sz w:val="24"/>
              </w:rPr>
            </w:pPr>
          </w:p>
        </w:tc>
        <w:tc>
          <w:tcPr>
            <w:tcW w:w="1796" w:type="dxa"/>
            <w:noWrap w:val="0"/>
            <w:vAlign w:val="top"/>
          </w:tcPr>
          <w:p w14:paraId="7F792C84">
            <w:pPr>
              <w:spacing w:line="360" w:lineRule="auto"/>
              <w:rPr>
                <w:rFonts w:hint="eastAsia" w:ascii="宋体" w:hAnsi="宋体" w:eastAsia="宋体" w:cs="宋体"/>
                <w:sz w:val="24"/>
              </w:rPr>
            </w:pPr>
          </w:p>
        </w:tc>
        <w:tc>
          <w:tcPr>
            <w:tcW w:w="1440" w:type="dxa"/>
            <w:noWrap w:val="0"/>
            <w:vAlign w:val="top"/>
          </w:tcPr>
          <w:p w14:paraId="1BEC8A99">
            <w:pPr>
              <w:spacing w:line="360" w:lineRule="auto"/>
              <w:rPr>
                <w:rFonts w:hint="eastAsia" w:ascii="宋体" w:hAnsi="宋体" w:eastAsia="宋体" w:cs="宋体"/>
                <w:sz w:val="24"/>
              </w:rPr>
            </w:pPr>
          </w:p>
        </w:tc>
        <w:tc>
          <w:tcPr>
            <w:tcW w:w="1186" w:type="dxa"/>
            <w:noWrap w:val="0"/>
            <w:vAlign w:val="top"/>
          </w:tcPr>
          <w:p w14:paraId="6B5FDCC8">
            <w:pPr>
              <w:spacing w:line="360" w:lineRule="auto"/>
              <w:rPr>
                <w:rFonts w:hint="eastAsia" w:ascii="宋体" w:hAnsi="宋体" w:eastAsia="宋体" w:cs="宋体"/>
                <w:sz w:val="24"/>
              </w:rPr>
            </w:pPr>
          </w:p>
        </w:tc>
        <w:tc>
          <w:tcPr>
            <w:tcW w:w="1186" w:type="dxa"/>
            <w:noWrap w:val="0"/>
            <w:vAlign w:val="top"/>
          </w:tcPr>
          <w:p w14:paraId="39E8BF5C">
            <w:pPr>
              <w:spacing w:line="360" w:lineRule="auto"/>
              <w:rPr>
                <w:rFonts w:hint="eastAsia" w:ascii="宋体" w:hAnsi="宋体" w:eastAsia="宋体" w:cs="宋体"/>
                <w:sz w:val="24"/>
              </w:rPr>
            </w:pPr>
          </w:p>
        </w:tc>
      </w:tr>
      <w:tr w14:paraId="6E48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19F85B7C">
            <w:pPr>
              <w:spacing w:line="360" w:lineRule="auto"/>
              <w:rPr>
                <w:rFonts w:hint="eastAsia" w:ascii="宋体" w:hAnsi="宋体" w:eastAsia="宋体" w:cs="宋体"/>
                <w:sz w:val="24"/>
              </w:rPr>
            </w:pPr>
          </w:p>
        </w:tc>
        <w:tc>
          <w:tcPr>
            <w:tcW w:w="1804" w:type="dxa"/>
            <w:noWrap w:val="0"/>
            <w:vAlign w:val="top"/>
          </w:tcPr>
          <w:p w14:paraId="3F2E2839">
            <w:pPr>
              <w:spacing w:line="360" w:lineRule="auto"/>
              <w:rPr>
                <w:rFonts w:hint="eastAsia" w:ascii="宋体" w:hAnsi="宋体" w:eastAsia="宋体" w:cs="宋体"/>
                <w:sz w:val="24"/>
              </w:rPr>
            </w:pPr>
          </w:p>
        </w:tc>
        <w:tc>
          <w:tcPr>
            <w:tcW w:w="1440" w:type="dxa"/>
            <w:noWrap w:val="0"/>
            <w:vAlign w:val="top"/>
          </w:tcPr>
          <w:p w14:paraId="228CB67D">
            <w:pPr>
              <w:spacing w:line="360" w:lineRule="auto"/>
              <w:rPr>
                <w:rFonts w:hint="eastAsia" w:ascii="宋体" w:hAnsi="宋体" w:eastAsia="宋体" w:cs="宋体"/>
                <w:sz w:val="24"/>
              </w:rPr>
            </w:pPr>
          </w:p>
        </w:tc>
        <w:tc>
          <w:tcPr>
            <w:tcW w:w="1440" w:type="dxa"/>
            <w:noWrap w:val="0"/>
            <w:vAlign w:val="top"/>
          </w:tcPr>
          <w:p w14:paraId="316DE68D">
            <w:pPr>
              <w:spacing w:line="360" w:lineRule="auto"/>
              <w:rPr>
                <w:rFonts w:hint="eastAsia" w:ascii="宋体" w:hAnsi="宋体" w:eastAsia="宋体" w:cs="宋体"/>
                <w:sz w:val="24"/>
              </w:rPr>
            </w:pPr>
          </w:p>
        </w:tc>
        <w:tc>
          <w:tcPr>
            <w:tcW w:w="1440" w:type="dxa"/>
            <w:noWrap w:val="0"/>
            <w:vAlign w:val="top"/>
          </w:tcPr>
          <w:p w14:paraId="6AC80D0A">
            <w:pPr>
              <w:spacing w:line="360" w:lineRule="auto"/>
              <w:rPr>
                <w:rFonts w:hint="eastAsia" w:ascii="宋体" w:hAnsi="宋体" w:eastAsia="宋体" w:cs="宋体"/>
                <w:sz w:val="24"/>
              </w:rPr>
            </w:pPr>
          </w:p>
        </w:tc>
        <w:tc>
          <w:tcPr>
            <w:tcW w:w="1440" w:type="dxa"/>
            <w:noWrap w:val="0"/>
            <w:vAlign w:val="top"/>
          </w:tcPr>
          <w:p w14:paraId="2C06B475">
            <w:pPr>
              <w:spacing w:line="360" w:lineRule="auto"/>
              <w:rPr>
                <w:rFonts w:hint="eastAsia" w:ascii="宋体" w:hAnsi="宋体" w:eastAsia="宋体" w:cs="宋体"/>
                <w:sz w:val="24"/>
              </w:rPr>
            </w:pPr>
          </w:p>
        </w:tc>
        <w:tc>
          <w:tcPr>
            <w:tcW w:w="1796" w:type="dxa"/>
            <w:noWrap w:val="0"/>
            <w:vAlign w:val="top"/>
          </w:tcPr>
          <w:p w14:paraId="7F67C52D">
            <w:pPr>
              <w:spacing w:line="360" w:lineRule="auto"/>
              <w:rPr>
                <w:rFonts w:hint="eastAsia" w:ascii="宋体" w:hAnsi="宋体" w:eastAsia="宋体" w:cs="宋体"/>
                <w:sz w:val="24"/>
              </w:rPr>
            </w:pPr>
          </w:p>
        </w:tc>
        <w:tc>
          <w:tcPr>
            <w:tcW w:w="1440" w:type="dxa"/>
            <w:noWrap w:val="0"/>
            <w:vAlign w:val="top"/>
          </w:tcPr>
          <w:p w14:paraId="0DA78EC8">
            <w:pPr>
              <w:spacing w:line="360" w:lineRule="auto"/>
              <w:rPr>
                <w:rFonts w:hint="eastAsia" w:ascii="宋体" w:hAnsi="宋体" w:eastAsia="宋体" w:cs="宋体"/>
                <w:sz w:val="24"/>
              </w:rPr>
            </w:pPr>
          </w:p>
        </w:tc>
        <w:tc>
          <w:tcPr>
            <w:tcW w:w="1186" w:type="dxa"/>
            <w:noWrap w:val="0"/>
            <w:vAlign w:val="top"/>
          </w:tcPr>
          <w:p w14:paraId="4C9C5FAA">
            <w:pPr>
              <w:spacing w:line="360" w:lineRule="auto"/>
              <w:rPr>
                <w:rFonts w:hint="eastAsia" w:ascii="宋体" w:hAnsi="宋体" w:eastAsia="宋体" w:cs="宋体"/>
                <w:sz w:val="24"/>
              </w:rPr>
            </w:pPr>
          </w:p>
        </w:tc>
        <w:tc>
          <w:tcPr>
            <w:tcW w:w="1186" w:type="dxa"/>
            <w:noWrap w:val="0"/>
            <w:vAlign w:val="top"/>
          </w:tcPr>
          <w:p w14:paraId="25B4C81F">
            <w:pPr>
              <w:spacing w:line="360" w:lineRule="auto"/>
              <w:rPr>
                <w:rFonts w:hint="eastAsia" w:ascii="宋体" w:hAnsi="宋体" w:eastAsia="宋体" w:cs="宋体"/>
                <w:sz w:val="24"/>
              </w:rPr>
            </w:pPr>
          </w:p>
        </w:tc>
      </w:tr>
      <w:tr w14:paraId="4DB9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153C9CC9">
            <w:pPr>
              <w:spacing w:line="360" w:lineRule="auto"/>
              <w:rPr>
                <w:rFonts w:hint="eastAsia" w:ascii="宋体" w:hAnsi="宋体" w:eastAsia="宋体" w:cs="宋体"/>
                <w:sz w:val="24"/>
              </w:rPr>
            </w:pPr>
          </w:p>
        </w:tc>
        <w:tc>
          <w:tcPr>
            <w:tcW w:w="1804" w:type="dxa"/>
            <w:noWrap w:val="0"/>
            <w:vAlign w:val="top"/>
          </w:tcPr>
          <w:p w14:paraId="65C15EF0">
            <w:pPr>
              <w:spacing w:line="360" w:lineRule="auto"/>
              <w:rPr>
                <w:rFonts w:hint="eastAsia" w:ascii="宋体" w:hAnsi="宋体" w:eastAsia="宋体" w:cs="宋体"/>
                <w:sz w:val="24"/>
              </w:rPr>
            </w:pPr>
          </w:p>
        </w:tc>
        <w:tc>
          <w:tcPr>
            <w:tcW w:w="1440" w:type="dxa"/>
            <w:noWrap w:val="0"/>
            <w:vAlign w:val="top"/>
          </w:tcPr>
          <w:p w14:paraId="4BFEBAA2">
            <w:pPr>
              <w:spacing w:line="360" w:lineRule="auto"/>
              <w:rPr>
                <w:rFonts w:hint="eastAsia" w:ascii="宋体" w:hAnsi="宋体" w:eastAsia="宋体" w:cs="宋体"/>
                <w:sz w:val="24"/>
              </w:rPr>
            </w:pPr>
          </w:p>
        </w:tc>
        <w:tc>
          <w:tcPr>
            <w:tcW w:w="1440" w:type="dxa"/>
            <w:noWrap w:val="0"/>
            <w:vAlign w:val="top"/>
          </w:tcPr>
          <w:p w14:paraId="62DCFF01">
            <w:pPr>
              <w:spacing w:line="360" w:lineRule="auto"/>
              <w:rPr>
                <w:rFonts w:hint="eastAsia" w:ascii="宋体" w:hAnsi="宋体" w:eastAsia="宋体" w:cs="宋体"/>
                <w:sz w:val="24"/>
              </w:rPr>
            </w:pPr>
          </w:p>
        </w:tc>
        <w:tc>
          <w:tcPr>
            <w:tcW w:w="1440" w:type="dxa"/>
            <w:noWrap w:val="0"/>
            <w:vAlign w:val="top"/>
          </w:tcPr>
          <w:p w14:paraId="785A9923">
            <w:pPr>
              <w:spacing w:line="360" w:lineRule="auto"/>
              <w:rPr>
                <w:rFonts w:hint="eastAsia" w:ascii="宋体" w:hAnsi="宋体" w:eastAsia="宋体" w:cs="宋体"/>
                <w:sz w:val="24"/>
              </w:rPr>
            </w:pPr>
          </w:p>
        </w:tc>
        <w:tc>
          <w:tcPr>
            <w:tcW w:w="1440" w:type="dxa"/>
            <w:noWrap w:val="0"/>
            <w:vAlign w:val="top"/>
          </w:tcPr>
          <w:p w14:paraId="21F13B7E">
            <w:pPr>
              <w:spacing w:line="360" w:lineRule="auto"/>
              <w:rPr>
                <w:rFonts w:hint="eastAsia" w:ascii="宋体" w:hAnsi="宋体" w:eastAsia="宋体" w:cs="宋体"/>
                <w:sz w:val="24"/>
              </w:rPr>
            </w:pPr>
          </w:p>
        </w:tc>
        <w:tc>
          <w:tcPr>
            <w:tcW w:w="1796" w:type="dxa"/>
            <w:noWrap w:val="0"/>
            <w:vAlign w:val="top"/>
          </w:tcPr>
          <w:p w14:paraId="1FC431F9">
            <w:pPr>
              <w:spacing w:line="360" w:lineRule="auto"/>
              <w:rPr>
                <w:rFonts w:hint="eastAsia" w:ascii="宋体" w:hAnsi="宋体" w:eastAsia="宋体" w:cs="宋体"/>
                <w:sz w:val="24"/>
              </w:rPr>
            </w:pPr>
          </w:p>
        </w:tc>
        <w:tc>
          <w:tcPr>
            <w:tcW w:w="1440" w:type="dxa"/>
            <w:noWrap w:val="0"/>
            <w:vAlign w:val="top"/>
          </w:tcPr>
          <w:p w14:paraId="741C7E22">
            <w:pPr>
              <w:spacing w:line="360" w:lineRule="auto"/>
              <w:rPr>
                <w:rFonts w:hint="eastAsia" w:ascii="宋体" w:hAnsi="宋体" w:eastAsia="宋体" w:cs="宋体"/>
                <w:sz w:val="24"/>
              </w:rPr>
            </w:pPr>
          </w:p>
        </w:tc>
        <w:tc>
          <w:tcPr>
            <w:tcW w:w="1186" w:type="dxa"/>
            <w:noWrap w:val="0"/>
            <w:vAlign w:val="top"/>
          </w:tcPr>
          <w:p w14:paraId="05DEAF8A">
            <w:pPr>
              <w:spacing w:line="360" w:lineRule="auto"/>
              <w:rPr>
                <w:rFonts w:hint="eastAsia" w:ascii="宋体" w:hAnsi="宋体" w:eastAsia="宋体" w:cs="宋体"/>
                <w:sz w:val="24"/>
              </w:rPr>
            </w:pPr>
          </w:p>
        </w:tc>
        <w:tc>
          <w:tcPr>
            <w:tcW w:w="1186" w:type="dxa"/>
            <w:noWrap w:val="0"/>
            <w:vAlign w:val="top"/>
          </w:tcPr>
          <w:p w14:paraId="2829A772">
            <w:pPr>
              <w:spacing w:line="360" w:lineRule="auto"/>
              <w:rPr>
                <w:rFonts w:hint="eastAsia" w:ascii="宋体" w:hAnsi="宋体" w:eastAsia="宋体" w:cs="宋体"/>
                <w:sz w:val="24"/>
              </w:rPr>
            </w:pPr>
          </w:p>
        </w:tc>
      </w:tr>
      <w:tr w14:paraId="355E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6F043E78">
            <w:pPr>
              <w:spacing w:line="360" w:lineRule="auto"/>
              <w:rPr>
                <w:rFonts w:hint="eastAsia" w:ascii="宋体" w:hAnsi="宋体" w:eastAsia="宋体" w:cs="宋体"/>
                <w:sz w:val="24"/>
              </w:rPr>
            </w:pPr>
          </w:p>
        </w:tc>
        <w:tc>
          <w:tcPr>
            <w:tcW w:w="1804" w:type="dxa"/>
            <w:noWrap w:val="0"/>
            <w:vAlign w:val="top"/>
          </w:tcPr>
          <w:p w14:paraId="0D5DD3C1">
            <w:pPr>
              <w:spacing w:line="360" w:lineRule="auto"/>
              <w:rPr>
                <w:rFonts w:hint="eastAsia" w:ascii="宋体" w:hAnsi="宋体" w:eastAsia="宋体" w:cs="宋体"/>
                <w:sz w:val="24"/>
              </w:rPr>
            </w:pPr>
          </w:p>
        </w:tc>
        <w:tc>
          <w:tcPr>
            <w:tcW w:w="1440" w:type="dxa"/>
            <w:noWrap w:val="0"/>
            <w:vAlign w:val="top"/>
          </w:tcPr>
          <w:p w14:paraId="72268516">
            <w:pPr>
              <w:spacing w:line="360" w:lineRule="auto"/>
              <w:rPr>
                <w:rFonts w:hint="eastAsia" w:ascii="宋体" w:hAnsi="宋体" w:eastAsia="宋体" w:cs="宋体"/>
                <w:sz w:val="24"/>
              </w:rPr>
            </w:pPr>
          </w:p>
        </w:tc>
        <w:tc>
          <w:tcPr>
            <w:tcW w:w="1440" w:type="dxa"/>
            <w:noWrap w:val="0"/>
            <w:vAlign w:val="top"/>
          </w:tcPr>
          <w:p w14:paraId="7FED792E">
            <w:pPr>
              <w:spacing w:line="360" w:lineRule="auto"/>
              <w:rPr>
                <w:rFonts w:hint="eastAsia" w:ascii="宋体" w:hAnsi="宋体" w:eastAsia="宋体" w:cs="宋体"/>
                <w:sz w:val="24"/>
              </w:rPr>
            </w:pPr>
          </w:p>
        </w:tc>
        <w:tc>
          <w:tcPr>
            <w:tcW w:w="1440" w:type="dxa"/>
            <w:noWrap w:val="0"/>
            <w:vAlign w:val="top"/>
          </w:tcPr>
          <w:p w14:paraId="553BDBF5">
            <w:pPr>
              <w:spacing w:line="360" w:lineRule="auto"/>
              <w:rPr>
                <w:rFonts w:hint="eastAsia" w:ascii="宋体" w:hAnsi="宋体" w:eastAsia="宋体" w:cs="宋体"/>
                <w:sz w:val="24"/>
              </w:rPr>
            </w:pPr>
          </w:p>
        </w:tc>
        <w:tc>
          <w:tcPr>
            <w:tcW w:w="1440" w:type="dxa"/>
            <w:noWrap w:val="0"/>
            <w:vAlign w:val="top"/>
          </w:tcPr>
          <w:p w14:paraId="6761B292">
            <w:pPr>
              <w:spacing w:line="360" w:lineRule="auto"/>
              <w:rPr>
                <w:rFonts w:hint="eastAsia" w:ascii="宋体" w:hAnsi="宋体" w:eastAsia="宋体" w:cs="宋体"/>
                <w:sz w:val="24"/>
              </w:rPr>
            </w:pPr>
          </w:p>
        </w:tc>
        <w:tc>
          <w:tcPr>
            <w:tcW w:w="1796" w:type="dxa"/>
            <w:noWrap w:val="0"/>
            <w:vAlign w:val="top"/>
          </w:tcPr>
          <w:p w14:paraId="3045DF91">
            <w:pPr>
              <w:spacing w:line="360" w:lineRule="auto"/>
              <w:rPr>
                <w:rFonts w:hint="eastAsia" w:ascii="宋体" w:hAnsi="宋体" w:eastAsia="宋体" w:cs="宋体"/>
                <w:sz w:val="24"/>
              </w:rPr>
            </w:pPr>
          </w:p>
        </w:tc>
        <w:tc>
          <w:tcPr>
            <w:tcW w:w="1440" w:type="dxa"/>
            <w:noWrap w:val="0"/>
            <w:vAlign w:val="top"/>
          </w:tcPr>
          <w:p w14:paraId="6E3959BD">
            <w:pPr>
              <w:spacing w:line="360" w:lineRule="auto"/>
              <w:rPr>
                <w:rFonts w:hint="eastAsia" w:ascii="宋体" w:hAnsi="宋体" w:eastAsia="宋体" w:cs="宋体"/>
                <w:sz w:val="24"/>
              </w:rPr>
            </w:pPr>
          </w:p>
        </w:tc>
        <w:tc>
          <w:tcPr>
            <w:tcW w:w="1186" w:type="dxa"/>
            <w:noWrap w:val="0"/>
            <w:vAlign w:val="top"/>
          </w:tcPr>
          <w:p w14:paraId="6710C9C6">
            <w:pPr>
              <w:spacing w:line="360" w:lineRule="auto"/>
              <w:rPr>
                <w:rFonts w:hint="eastAsia" w:ascii="宋体" w:hAnsi="宋体" w:eastAsia="宋体" w:cs="宋体"/>
                <w:sz w:val="24"/>
              </w:rPr>
            </w:pPr>
          </w:p>
        </w:tc>
        <w:tc>
          <w:tcPr>
            <w:tcW w:w="1186" w:type="dxa"/>
            <w:noWrap w:val="0"/>
            <w:vAlign w:val="top"/>
          </w:tcPr>
          <w:p w14:paraId="1619235A">
            <w:pPr>
              <w:spacing w:line="360" w:lineRule="auto"/>
              <w:rPr>
                <w:rFonts w:hint="eastAsia" w:ascii="宋体" w:hAnsi="宋体" w:eastAsia="宋体" w:cs="宋体"/>
                <w:sz w:val="24"/>
              </w:rPr>
            </w:pPr>
          </w:p>
        </w:tc>
      </w:tr>
      <w:tr w14:paraId="1A98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5BEADD6B">
            <w:pPr>
              <w:spacing w:line="360" w:lineRule="auto"/>
              <w:rPr>
                <w:rFonts w:hint="eastAsia" w:ascii="宋体" w:hAnsi="宋体" w:eastAsia="宋体" w:cs="宋体"/>
                <w:sz w:val="24"/>
              </w:rPr>
            </w:pPr>
          </w:p>
        </w:tc>
        <w:tc>
          <w:tcPr>
            <w:tcW w:w="1804" w:type="dxa"/>
            <w:noWrap w:val="0"/>
            <w:vAlign w:val="top"/>
          </w:tcPr>
          <w:p w14:paraId="5420DCF9">
            <w:pPr>
              <w:spacing w:line="360" w:lineRule="auto"/>
              <w:rPr>
                <w:rFonts w:hint="eastAsia" w:ascii="宋体" w:hAnsi="宋体" w:eastAsia="宋体" w:cs="宋体"/>
                <w:sz w:val="24"/>
              </w:rPr>
            </w:pPr>
          </w:p>
        </w:tc>
        <w:tc>
          <w:tcPr>
            <w:tcW w:w="1440" w:type="dxa"/>
            <w:noWrap w:val="0"/>
            <w:vAlign w:val="top"/>
          </w:tcPr>
          <w:p w14:paraId="13AE9FF1">
            <w:pPr>
              <w:spacing w:line="360" w:lineRule="auto"/>
              <w:rPr>
                <w:rFonts w:hint="eastAsia" w:ascii="宋体" w:hAnsi="宋体" w:eastAsia="宋体" w:cs="宋体"/>
                <w:sz w:val="24"/>
              </w:rPr>
            </w:pPr>
          </w:p>
        </w:tc>
        <w:tc>
          <w:tcPr>
            <w:tcW w:w="1440" w:type="dxa"/>
            <w:noWrap w:val="0"/>
            <w:vAlign w:val="top"/>
          </w:tcPr>
          <w:p w14:paraId="466C04A9">
            <w:pPr>
              <w:spacing w:line="360" w:lineRule="auto"/>
              <w:rPr>
                <w:rFonts w:hint="eastAsia" w:ascii="宋体" w:hAnsi="宋体" w:eastAsia="宋体" w:cs="宋体"/>
                <w:sz w:val="24"/>
              </w:rPr>
            </w:pPr>
          </w:p>
        </w:tc>
        <w:tc>
          <w:tcPr>
            <w:tcW w:w="1440" w:type="dxa"/>
            <w:noWrap w:val="0"/>
            <w:vAlign w:val="top"/>
          </w:tcPr>
          <w:p w14:paraId="34A173AA">
            <w:pPr>
              <w:spacing w:line="360" w:lineRule="auto"/>
              <w:rPr>
                <w:rFonts w:hint="eastAsia" w:ascii="宋体" w:hAnsi="宋体" w:eastAsia="宋体" w:cs="宋体"/>
                <w:sz w:val="24"/>
              </w:rPr>
            </w:pPr>
          </w:p>
        </w:tc>
        <w:tc>
          <w:tcPr>
            <w:tcW w:w="1440" w:type="dxa"/>
            <w:noWrap w:val="0"/>
            <w:vAlign w:val="top"/>
          </w:tcPr>
          <w:p w14:paraId="71B2E2F8">
            <w:pPr>
              <w:spacing w:line="360" w:lineRule="auto"/>
              <w:rPr>
                <w:rFonts w:hint="eastAsia" w:ascii="宋体" w:hAnsi="宋体" w:eastAsia="宋体" w:cs="宋体"/>
                <w:sz w:val="24"/>
              </w:rPr>
            </w:pPr>
          </w:p>
        </w:tc>
        <w:tc>
          <w:tcPr>
            <w:tcW w:w="1796" w:type="dxa"/>
            <w:noWrap w:val="0"/>
            <w:vAlign w:val="top"/>
          </w:tcPr>
          <w:p w14:paraId="6B393903">
            <w:pPr>
              <w:spacing w:line="360" w:lineRule="auto"/>
              <w:rPr>
                <w:rFonts w:hint="eastAsia" w:ascii="宋体" w:hAnsi="宋体" w:eastAsia="宋体" w:cs="宋体"/>
                <w:sz w:val="24"/>
              </w:rPr>
            </w:pPr>
          </w:p>
        </w:tc>
        <w:tc>
          <w:tcPr>
            <w:tcW w:w="1440" w:type="dxa"/>
            <w:noWrap w:val="0"/>
            <w:vAlign w:val="top"/>
          </w:tcPr>
          <w:p w14:paraId="548E42EC">
            <w:pPr>
              <w:spacing w:line="360" w:lineRule="auto"/>
              <w:rPr>
                <w:rFonts w:hint="eastAsia" w:ascii="宋体" w:hAnsi="宋体" w:eastAsia="宋体" w:cs="宋体"/>
                <w:sz w:val="24"/>
              </w:rPr>
            </w:pPr>
          </w:p>
        </w:tc>
        <w:tc>
          <w:tcPr>
            <w:tcW w:w="1186" w:type="dxa"/>
            <w:noWrap w:val="0"/>
            <w:vAlign w:val="top"/>
          </w:tcPr>
          <w:p w14:paraId="18335B8E">
            <w:pPr>
              <w:spacing w:line="360" w:lineRule="auto"/>
              <w:rPr>
                <w:rFonts w:hint="eastAsia" w:ascii="宋体" w:hAnsi="宋体" w:eastAsia="宋体" w:cs="宋体"/>
                <w:sz w:val="24"/>
              </w:rPr>
            </w:pPr>
          </w:p>
        </w:tc>
        <w:tc>
          <w:tcPr>
            <w:tcW w:w="1186" w:type="dxa"/>
            <w:noWrap w:val="0"/>
            <w:vAlign w:val="top"/>
          </w:tcPr>
          <w:p w14:paraId="411CDF38">
            <w:pPr>
              <w:spacing w:line="360" w:lineRule="auto"/>
              <w:rPr>
                <w:rFonts w:hint="eastAsia" w:ascii="宋体" w:hAnsi="宋体" w:eastAsia="宋体" w:cs="宋体"/>
                <w:sz w:val="24"/>
              </w:rPr>
            </w:pPr>
          </w:p>
        </w:tc>
      </w:tr>
    </w:tbl>
    <w:p w14:paraId="21FFDF20">
      <w:pPr>
        <w:spacing w:line="400" w:lineRule="atLeast"/>
        <w:textAlignment w:val="baseline"/>
        <w:rPr>
          <w:rFonts w:hint="eastAsia" w:ascii="宋体" w:hAnsi="宋体" w:eastAsia="宋体" w:cs="宋体"/>
          <w:sz w:val="24"/>
        </w:rPr>
      </w:pPr>
    </w:p>
    <w:p w14:paraId="321FAEBE">
      <w:pPr>
        <w:spacing w:line="400" w:lineRule="atLeast"/>
        <w:textAlignment w:val="baseline"/>
        <w:rPr>
          <w:rFonts w:hint="eastAsia" w:ascii="宋体" w:hAnsi="宋体" w:eastAsia="宋体" w:cs="宋体"/>
          <w:sz w:val="24"/>
        </w:rPr>
      </w:pPr>
    </w:p>
    <w:p w14:paraId="6FB01801">
      <w:pPr>
        <w:spacing w:line="400" w:lineRule="atLeast"/>
        <w:textAlignment w:val="baseline"/>
        <w:rPr>
          <w:rFonts w:hint="eastAsia" w:ascii="宋体" w:hAnsi="宋体" w:eastAsia="宋体" w:cs="宋体"/>
          <w:sz w:val="24"/>
        </w:rPr>
      </w:pPr>
      <w:r>
        <w:rPr>
          <w:rFonts w:hint="eastAsia" w:ascii="宋体" w:hAnsi="宋体" w:eastAsia="宋体" w:cs="宋体"/>
          <w:sz w:val="24"/>
        </w:rPr>
        <w:t xml:space="preserve">公司简称：                                              公司代码： </w:t>
      </w:r>
    </w:p>
    <w:p w14:paraId="5E1575CD">
      <w:pPr>
        <w:spacing w:line="400" w:lineRule="atLeast"/>
        <w:textAlignment w:val="baseline"/>
        <w:rPr>
          <w:rFonts w:hint="eastAsia" w:ascii="宋体" w:hAnsi="宋体" w:eastAsia="宋体" w:cs="宋体"/>
          <w:sz w:val="24"/>
        </w:rPr>
      </w:pPr>
      <w:r>
        <w:rPr>
          <w:rFonts w:hint="eastAsia" w:ascii="宋体" w:hAnsi="宋体" w:eastAsia="宋体" w:cs="宋体"/>
          <w:sz w:val="24"/>
        </w:rPr>
        <w:t xml:space="preserve">法定代表人签名：                                        公司盖章：                                  </w:t>
      </w:r>
    </w:p>
    <w:p w14:paraId="5CEC3125">
      <w:pPr>
        <w:spacing w:line="400" w:lineRule="atLeast"/>
        <w:textAlignment w:val="baseline"/>
        <w:rPr>
          <w:rFonts w:hint="eastAsia" w:ascii="宋体" w:hAnsi="宋体" w:eastAsia="宋体" w:cs="宋体"/>
          <w:sz w:val="24"/>
        </w:rPr>
      </w:pPr>
    </w:p>
    <w:p w14:paraId="64171CEE">
      <w:pPr>
        <w:tabs>
          <w:tab w:val="left" w:pos="1680"/>
        </w:tabs>
        <w:spacing w:line="400" w:lineRule="atLeast"/>
        <w:ind w:firstLine="480" w:firstLineChars="200"/>
        <w:textAlignment w:val="baseline"/>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注：1.内幕信息事项应采取一事一记的方式，即每份内幕信息知情人档案仅涉及一个内幕信息事项，不同内幕信息事项涉及的知情人档案应分别记录。</w:t>
      </w:r>
    </w:p>
    <w:p w14:paraId="773DCF3D">
      <w:pPr>
        <w:spacing w:line="400" w:lineRule="atLeast"/>
        <w:textAlignment w:val="baseline"/>
        <w:rPr>
          <w:rFonts w:hint="eastAsia" w:ascii="宋体" w:hAnsi="宋体" w:eastAsia="宋体" w:cs="宋体"/>
          <w:sz w:val="24"/>
        </w:rPr>
      </w:pPr>
      <w:r>
        <w:rPr>
          <w:rFonts w:hint="eastAsia" w:ascii="宋体" w:hAnsi="宋体" w:eastAsia="宋体" w:cs="宋体"/>
          <w:sz w:val="24"/>
        </w:rPr>
        <w:t xml:space="preserve">        2.填报获取内幕信息的方式，包括但不限于会谈、电话、传真、书面报告、电子邮件等。</w:t>
      </w:r>
    </w:p>
    <w:p w14:paraId="1ACAADCD">
      <w:pPr>
        <w:spacing w:line="400" w:lineRule="atLeast"/>
        <w:textAlignment w:val="baseline"/>
        <w:rPr>
          <w:rFonts w:hint="eastAsia" w:ascii="宋体" w:hAnsi="宋体" w:eastAsia="宋体" w:cs="宋体"/>
          <w:sz w:val="24"/>
        </w:rPr>
      </w:pPr>
      <w:r>
        <w:rPr>
          <w:rFonts w:hint="eastAsia" w:ascii="宋体" w:hAnsi="宋体" w:eastAsia="宋体" w:cs="宋体"/>
          <w:sz w:val="24"/>
        </w:rPr>
        <w:t xml:space="preserve">        3.填报各内幕信息知情人所获知的内幕信息的内容，可根据需要添加附页进行详细说明。</w:t>
      </w:r>
    </w:p>
    <w:p w14:paraId="6FB23393">
      <w:pPr>
        <w:spacing w:line="400" w:lineRule="atLeast"/>
        <w:textAlignment w:val="baseline"/>
        <w:rPr>
          <w:rFonts w:hint="eastAsia" w:ascii="宋体" w:hAnsi="宋体" w:eastAsia="宋体" w:cs="宋体"/>
          <w:sz w:val="24"/>
        </w:rPr>
      </w:pPr>
      <w:r>
        <w:rPr>
          <w:rFonts w:hint="eastAsia" w:ascii="宋体" w:hAnsi="宋体" w:eastAsia="宋体" w:cs="宋体"/>
          <w:sz w:val="24"/>
        </w:rPr>
        <w:t xml:space="preserve">        4.填报内幕信息所处阶段，包括商议筹划，论证咨询，合同订立，公司内部的报告、传递、编制、决议等。</w:t>
      </w:r>
    </w:p>
    <w:p w14:paraId="6E715C6B">
      <w:pPr>
        <w:spacing w:line="400" w:lineRule="atLeast"/>
        <w:textAlignment w:val="baseline"/>
        <w:rPr>
          <w:rFonts w:hint="eastAsia" w:ascii="宋体" w:hAnsi="宋体" w:eastAsia="宋体" w:cs="宋体"/>
          <w:sz w:val="24"/>
        </w:rPr>
      </w:pPr>
      <w:r>
        <w:rPr>
          <w:rFonts w:hint="eastAsia" w:ascii="宋体" w:hAnsi="宋体" w:eastAsia="宋体" w:cs="宋体"/>
          <w:sz w:val="24"/>
        </w:rPr>
        <w:t xml:space="preserve">        5.如为上市公司登记，填写上市公司登记人名字；如为上市公司汇总，保留所汇总表格中原登记人的姓名。</w:t>
      </w:r>
    </w:p>
    <w:p w14:paraId="7F0B3E0A">
      <w:pPr>
        <w:tabs>
          <w:tab w:val="left" w:pos="2410"/>
        </w:tabs>
        <w:spacing w:line="298" w:lineRule="auto"/>
        <w:ind w:left="2410"/>
        <w:rPr>
          <w:rFonts w:hint="eastAsia" w:ascii="宋体" w:hAnsi="宋体" w:eastAsia="宋体" w:cs="宋体"/>
          <w:sz w:val="24"/>
        </w:rPr>
        <w:sectPr>
          <w:pgSz w:w="16838" w:h="11906" w:orient="landscape"/>
          <w:pgMar w:top="1418" w:right="1418" w:bottom="1418" w:left="1418" w:header="851" w:footer="992" w:gutter="0"/>
          <w:cols w:space="720" w:num="1"/>
          <w:docGrid w:type="linesAndChars" w:linePitch="312" w:charSpace="0"/>
        </w:sectPr>
      </w:pPr>
    </w:p>
    <w:p w14:paraId="36A18EE9">
      <w:pPr>
        <w:spacing w:line="298" w:lineRule="auto"/>
        <w:jc w:val="center"/>
        <w:rPr>
          <w:rFonts w:hint="eastAsia" w:ascii="宋体" w:hAnsi="宋体" w:eastAsia="宋体" w:cs="宋体"/>
          <w:b/>
          <w:sz w:val="32"/>
          <w:szCs w:val="32"/>
        </w:rPr>
      </w:pPr>
      <w:r>
        <w:rPr>
          <w:rFonts w:hint="eastAsia" w:ascii="宋体" w:hAnsi="宋体" w:eastAsia="宋体" w:cs="宋体"/>
          <w:b/>
          <w:sz w:val="32"/>
          <w:szCs w:val="32"/>
        </w:rPr>
        <w:t>永兴</w:t>
      </w:r>
      <w:r>
        <w:rPr>
          <w:rFonts w:hint="eastAsia" w:ascii="宋体" w:hAnsi="宋体" w:cs="宋体"/>
          <w:b/>
          <w:sz w:val="32"/>
          <w:szCs w:val="32"/>
          <w:lang w:val="en-US" w:eastAsia="zh-CN"/>
        </w:rPr>
        <w:t>材料</w:t>
      </w:r>
      <w:r>
        <w:rPr>
          <w:rFonts w:hint="eastAsia" w:ascii="宋体" w:hAnsi="宋体" w:eastAsia="宋体" w:cs="宋体"/>
          <w:b/>
          <w:sz w:val="32"/>
          <w:szCs w:val="32"/>
        </w:rPr>
        <w:t>内幕信息知情人员买卖公司股票自查表</w:t>
      </w:r>
    </w:p>
    <w:p w14:paraId="71885C8F">
      <w:pPr>
        <w:rPr>
          <w:rFonts w:hint="eastAsia" w:ascii="宋体" w:hAnsi="宋体" w:eastAsia="宋体" w:cs="宋体"/>
          <w:sz w:val="24"/>
        </w:rPr>
      </w:pPr>
    </w:p>
    <w:p w14:paraId="1CD52A11">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51A4BCED">
      <w:pPr>
        <w:spacing w:line="360" w:lineRule="auto"/>
        <w:ind w:firstLine="480"/>
        <w:rPr>
          <w:rFonts w:hint="eastAsia" w:ascii="宋体" w:hAnsi="宋体" w:eastAsia="宋体" w:cs="宋体"/>
          <w:sz w:val="24"/>
        </w:rPr>
      </w:pPr>
      <w:r>
        <w:rPr>
          <w:rFonts w:hint="eastAsia" w:ascii="宋体" w:hAnsi="宋体" w:eastAsia="宋体" w:cs="宋体"/>
          <w:sz w:val="24"/>
        </w:rPr>
        <w:t>本公司于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日披露了</w:t>
      </w:r>
      <w:r>
        <w:rPr>
          <w:rFonts w:hint="eastAsia" w:ascii="宋体" w:hAnsi="宋体" w:eastAsia="宋体" w:cs="宋体"/>
          <w:sz w:val="24"/>
          <w:u w:val="single"/>
        </w:rPr>
        <w:t xml:space="preserve">                </w:t>
      </w:r>
      <w:r>
        <w:rPr>
          <w:rFonts w:hint="eastAsia" w:ascii="宋体" w:hAnsi="宋体" w:eastAsia="宋体" w:cs="宋体"/>
          <w:sz w:val="24"/>
        </w:rPr>
        <w:t>，根据中国证监会和深圳证券交易所的要求，公司需对内幕信息知情人买卖公司股票情况进行自查，您作为内幕信息知情人，请确认您本人（及您的近亲属）在</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日之间是否存在买卖本公司股票行为：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320"/>
        <w:gridCol w:w="900"/>
        <w:gridCol w:w="900"/>
        <w:gridCol w:w="900"/>
        <w:gridCol w:w="941"/>
        <w:gridCol w:w="1456"/>
      </w:tblGrid>
      <w:tr w14:paraId="67DE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274A7AC1">
            <w:pPr>
              <w:rPr>
                <w:rFonts w:hint="eastAsia" w:ascii="宋体" w:hAnsi="宋体" w:eastAsia="宋体" w:cs="宋体"/>
                <w:kern w:val="0"/>
                <w:sz w:val="24"/>
              </w:rPr>
            </w:pPr>
            <w:r>
              <w:rPr>
                <w:rFonts w:hint="eastAsia" w:ascii="宋体" w:hAnsi="宋体" w:eastAsia="宋体" w:cs="宋体"/>
                <w:kern w:val="0"/>
                <w:sz w:val="24"/>
              </w:rPr>
              <w:t>姓名</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0B54701">
            <w:pPr>
              <w:rPr>
                <w:rFonts w:hint="eastAsia" w:ascii="宋体" w:hAnsi="宋体" w:eastAsia="宋体" w:cs="宋体"/>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E06D75B">
            <w:pPr>
              <w:rPr>
                <w:rFonts w:hint="eastAsia" w:ascii="宋体" w:hAnsi="宋体" w:eastAsia="宋体" w:cs="宋体"/>
                <w:kern w:val="0"/>
                <w:sz w:val="24"/>
              </w:rPr>
            </w:pPr>
            <w:r>
              <w:rPr>
                <w:rFonts w:hint="eastAsia" w:ascii="宋体" w:hAnsi="宋体" w:eastAsia="宋体" w:cs="宋体"/>
                <w:kern w:val="0"/>
                <w:sz w:val="24"/>
              </w:rPr>
              <w:t>性别</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58372C2">
            <w:pPr>
              <w:rPr>
                <w:rFonts w:hint="eastAsia" w:ascii="宋体" w:hAnsi="宋体" w:eastAsia="宋体" w:cs="宋体"/>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47EFEB">
            <w:pPr>
              <w:rPr>
                <w:rFonts w:hint="eastAsia" w:ascii="宋体" w:hAnsi="宋体" w:eastAsia="宋体" w:cs="宋体"/>
                <w:kern w:val="0"/>
                <w:sz w:val="24"/>
              </w:rPr>
            </w:pPr>
            <w:r>
              <w:rPr>
                <w:rFonts w:hint="eastAsia" w:ascii="宋体" w:hAnsi="宋体" w:eastAsia="宋体" w:cs="宋体"/>
                <w:kern w:val="0"/>
                <w:sz w:val="24"/>
              </w:rPr>
              <w:t>职务</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14:paraId="37D63887">
            <w:pPr>
              <w:rPr>
                <w:rFonts w:hint="eastAsia" w:ascii="宋体" w:hAnsi="宋体" w:eastAsia="宋体" w:cs="宋体"/>
                <w:kern w:val="0"/>
                <w:sz w:val="24"/>
              </w:rPr>
            </w:pPr>
          </w:p>
        </w:tc>
      </w:tr>
      <w:tr w14:paraId="47E4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9" w:type="dxa"/>
            <w:gridSpan w:val="7"/>
            <w:tcBorders>
              <w:top w:val="single" w:color="auto" w:sz="4" w:space="0"/>
              <w:left w:val="single" w:color="auto" w:sz="4" w:space="0"/>
              <w:bottom w:val="single" w:color="auto" w:sz="4" w:space="0"/>
              <w:right w:val="single" w:color="auto" w:sz="4" w:space="0"/>
            </w:tcBorders>
            <w:noWrap w:val="0"/>
            <w:vAlign w:val="center"/>
          </w:tcPr>
          <w:p w14:paraId="656347AF">
            <w:pPr>
              <w:jc w:val="center"/>
              <w:rPr>
                <w:rFonts w:hint="eastAsia" w:ascii="宋体" w:hAnsi="宋体" w:eastAsia="宋体" w:cs="宋体"/>
                <w:kern w:val="0"/>
                <w:sz w:val="24"/>
              </w:rPr>
            </w:pPr>
            <w:r>
              <w:rPr>
                <w:rFonts w:hint="eastAsia" w:ascii="宋体" w:hAnsi="宋体" w:eastAsia="宋体" w:cs="宋体"/>
                <w:kern w:val="0"/>
                <w:sz w:val="24"/>
              </w:rPr>
              <w:t>本人及近亲属情况</w:t>
            </w:r>
          </w:p>
        </w:tc>
      </w:tr>
      <w:tr w14:paraId="548E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6518602A">
            <w:pPr>
              <w:jc w:val="center"/>
              <w:rPr>
                <w:rFonts w:hint="eastAsia" w:ascii="宋体" w:hAnsi="宋体" w:eastAsia="宋体" w:cs="宋体"/>
                <w:sz w:val="24"/>
              </w:rPr>
            </w:pPr>
            <w:r>
              <w:rPr>
                <w:rFonts w:hint="eastAsia" w:ascii="宋体" w:hAnsi="宋体" w:eastAsia="宋体" w:cs="宋体"/>
                <w:sz w:val="24"/>
              </w:rPr>
              <w:t>姓名</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60D0F18">
            <w:pPr>
              <w:jc w:val="center"/>
              <w:rPr>
                <w:rFonts w:hint="eastAsia" w:ascii="宋体" w:hAnsi="宋体" w:eastAsia="宋体" w:cs="宋体"/>
                <w:sz w:val="24"/>
              </w:rPr>
            </w:pPr>
            <w:r>
              <w:rPr>
                <w:rFonts w:hint="eastAsia" w:ascii="宋体" w:hAnsi="宋体" w:eastAsia="宋体" w:cs="宋体"/>
                <w:sz w:val="24"/>
              </w:rPr>
              <w:t>与本人</w:t>
            </w:r>
          </w:p>
          <w:p w14:paraId="0C3C369F">
            <w:pPr>
              <w:jc w:val="center"/>
              <w:rPr>
                <w:rFonts w:hint="eastAsia" w:ascii="宋体" w:hAnsi="宋体" w:eastAsia="宋体" w:cs="宋体"/>
                <w:sz w:val="24"/>
              </w:rPr>
            </w:pPr>
            <w:r>
              <w:rPr>
                <w:rFonts w:hint="eastAsia" w:ascii="宋体" w:hAnsi="宋体" w:eastAsia="宋体" w:cs="宋体"/>
                <w:sz w:val="24"/>
              </w:rPr>
              <w:t>关系</w:t>
            </w:r>
          </w:p>
        </w:tc>
        <w:tc>
          <w:tcPr>
            <w:tcW w:w="3641" w:type="dxa"/>
            <w:gridSpan w:val="4"/>
            <w:tcBorders>
              <w:top w:val="single" w:color="auto" w:sz="4" w:space="0"/>
              <w:left w:val="single" w:color="auto" w:sz="4" w:space="0"/>
              <w:bottom w:val="single" w:color="auto" w:sz="4" w:space="0"/>
              <w:right w:val="single" w:color="auto" w:sz="4" w:space="0"/>
            </w:tcBorders>
            <w:noWrap w:val="0"/>
            <w:vAlign w:val="center"/>
          </w:tcPr>
          <w:p w14:paraId="66AC4BB2">
            <w:pPr>
              <w:jc w:val="center"/>
              <w:rPr>
                <w:rFonts w:hint="eastAsia" w:ascii="宋体" w:hAnsi="宋体" w:eastAsia="宋体" w:cs="宋体"/>
                <w:sz w:val="24"/>
              </w:rPr>
            </w:pPr>
            <w:r>
              <w:rPr>
                <w:rFonts w:hint="eastAsia" w:ascii="宋体" w:hAnsi="宋体" w:eastAsia="宋体" w:cs="宋体"/>
                <w:sz w:val="24"/>
              </w:rPr>
              <w:t>身份证号码</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036F6B7">
            <w:pPr>
              <w:jc w:val="center"/>
              <w:rPr>
                <w:rFonts w:hint="eastAsia" w:ascii="宋体" w:hAnsi="宋体" w:eastAsia="宋体" w:cs="宋体"/>
                <w:sz w:val="24"/>
              </w:rPr>
            </w:pPr>
            <w:r>
              <w:rPr>
                <w:rFonts w:hint="eastAsia" w:ascii="宋体" w:hAnsi="宋体" w:eastAsia="宋体" w:cs="宋体"/>
                <w:sz w:val="24"/>
              </w:rPr>
              <w:t>有/无</w:t>
            </w:r>
          </w:p>
        </w:tc>
      </w:tr>
      <w:tr w14:paraId="6989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29C926EB">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55BAA9C6">
            <w:pPr>
              <w:jc w:val="center"/>
              <w:rPr>
                <w:rFonts w:hint="eastAsia" w:ascii="宋体" w:hAnsi="宋体" w:eastAsia="宋体" w:cs="宋体"/>
                <w:sz w:val="24"/>
              </w:rPr>
            </w:pPr>
            <w:r>
              <w:rPr>
                <w:rFonts w:hint="eastAsia" w:ascii="宋体" w:hAnsi="宋体" w:eastAsia="宋体" w:cs="宋体"/>
                <w:sz w:val="24"/>
              </w:rPr>
              <w:t>本人</w:t>
            </w: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71DBF5E5">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3456A5FE">
            <w:pPr>
              <w:rPr>
                <w:rFonts w:hint="eastAsia" w:ascii="宋体" w:hAnsi="宋体" w:eastAsia="宋体" w:cs="宋体"/>
                <w:sz w:val="24"/>
              </w:rPr>
            </w:pPr>
          </w:p>
        </w:tc>
      </w:tr>
      <w:tr w14:paraId="1BB1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0D95AB8D">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33F06409">
            <w:pPr>
              <w:jc w:val="center"/>
              <w:rPr>
                <w:rFonts w:hint="eastAsia" w:ascii="宋体" w:hAnsi="宋体" w:eastAsia="宋体" w:cs="宋体"/>
                <w:sz w:val="24"/>
              </w:rPr>
            </w:pPr>
            <w:r>
              <w:rPr>
                <w:rFonts w:hint="eastAsia" w:ascii="宋体" w:hAnsi="宋体" w:eastAsia="宋体" w:cs="宋体"/>
                <w:sz w:val="24"/>
              </w:rPr>
              <w:t>配偶</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6B56962A">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6DB96150">
            <w:pPr>
              <w:jc w:val="center"/>
              <w:rPr>
                <w:rFonts w:hint="eastAsia" w:ascii="宋体" w:hAnsi="宋体" w:eastAsia="宋体" w:cs="宋体"/>
                <w:sz w:val="24"/>
              </w:rPr>
            </w:pPr>
          </w:p>
        </w:tc>
      </w:tr>
      <w:tr w14:paraId="0A28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7730858E">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39B8D386">
            <w:pPr>
              <w:jc w:val="center"/>
              <w:rPr>
                <w:rFonts w:hint="eastAsia" w:ascii="宋体" w:hAnsi="宋体" w:eastAsia="宋体" w:cs="宋体"/>
                <w:sz w:val="24"/>
              </w:rPr>
            </w:pPr>
            <w:r>
              <w:rPr>
                <w:rFonts w:hint="eastAsia" w:ascii="宋体" w:hAnsi="宋体" w:eastAsia="宋体" w:cs="宋体"/>
                <w:sz w:val="24"/>
              </w:rPr>
              <w:t>子女</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7BAE7698">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001F45D1">
            <w:pPr>
              <w:rPr>
                <w:rFonts w:hint="eastAsia" w:ascii="宋体" w:hAnsi="宋体" w:eastAsia="宋体" w:cs="宋体"/>
                <w:sz w:val="24"/>
              </w:rPr>
            </w:pPr>
          </w:p>
        </w:tc>
      </w:tr>
      <w:tr w14:paraId="6839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5DFC851A">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16FBF7C9">
            <w:pPr>
              <w:jc w:val="center"/>
              <w:rPr>
                <w:rFonts w:hint="eastAsia" w:ascii="宋体" w:hAnsi="宋体" w:eastAsia="宋体" w:cs="宋体"/>
                <w:sz w:val="24"/>
              </w:rPr>
            </w:pPr>
            <w:r>
              <w:rPr>
                <w:rFonts w:hint="eastAsia" w:ascii="宋体" w:hAnsi="宋体" w:eastAsia="宋体" w:cs="宋体"/>
                <w:sz w:val="24"/>
              </w:rPr>
              <w:t>父母</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4B4B67D2">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3603A74B">
            <w:pPr>
              <w:rPr>
                <w:rFonts w:hint="eastAsia" w:ascii="宋体" w:hAnsi="宋体" w:eastAsia="宋体" w:cs="宋体"/>
                <w:sz w:val="24"/>
              </w:rPr>
            </w:pPr>
          </w:p>
        </w:tc>
      </w:tr>
      <w:tr w14:paraId="609E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520D0BC7">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24FF72C1">
            <w:pPr>
              <w:jc w:val="center"/>
              <w:rPr>
                <w:rFonts w:hint="eastAsia" w:ascii="宋体" w:hAnsi="宋体" w:eastAsia="宋体" w:cs="宋体"/>
                <w:sz w:val="24"/>
              </w:rPr>
            </w:pPr>
            <w:r>
              <w:rPr>
                <w:rFonts w:hint="eastAsia" w:ascii="宋体" w:hAnsi="宋体" w:eastAsia="宋体" w:cs="宋体"/>
                <w:sz w:val="24"/>
              </w:rPr>
              <w:t>兄弟姐妹</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560C3534">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3DE3CDCC">
            <w:pPr>
              <w:rPr>
                <w:rFonts w:hint="eastAsia" w:ascii="宋体" w:hAnsi="宋体" w:eastAsia="宋体" w:cs="宋体"/>
                <w:sz w:val="24"/>
              </w:rPr>
            </w:pPr>
          </w:p>
        </w:tc>
      </w:tr>
      <w:tr w14:paraId="6951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615C78FB">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47C37AA3">
            <w:pPr>
              <w:jc w:val="center"/>
              <w:rPr>
                <w:rFonts w:hint="eastAsia" w:ascii="宋体" w:hAnsi="宋体" w:eastAsia="宋体" w:cs="宋体"/>
                <w:sz w:val="24"/>
              </w:rPr>
            </w:pPr>
            <w:r>
              <w:rPr>
                <w:rFonts w:hint="eastAsia" w:ascii="宋体" w:hAnsi="宋体" w:eastAsia="宋体" w:cs="宋体"/>
                <w:sz w:val="24"/>
              </w:rPr>
              <w:t>兄弟姐妹</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6394E74A">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23B885A2">
            <w:pPr>
              <w:rPr>
                <w:rFonts w:hint="eastAsia" w:ascii="宋体" w:hAnsi="宋体" w:eastAsia="宋体" w:cs="宋体"/>
                <w:sz w:val="24"/>
              </w:rPr>
            </w:pPr>
          </w:p>
        </w:tc>
      </w:tr>
      <w:tr w14:paraId="268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59EF5A03">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2A80BF6D">
            <w:pPr>
              <w:jc w:val="center"/>
              <w:rPr>
                <w:rFonts w:hint="eastAsia" w:ascii="宋体" w:hAnsi="宋体" w:eastAsia="宋体" w:cs="宋体"/>
                <w:sz w:val="24"/>
              </w:rPr>
            </w:pPr>
            <w:r>
              <w:rPr>
                <w:rFonts w:hint="eastAsia" w:ascii="宋体" w:hAnsi="宋体" w:eastAsia="宋体" w:cs="宋体"/>
                <w:sz w:val="24"/>
              </w:rPr>
              <w:t>兄弟姐妹</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77365058">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118375FD">
            <w:pPr>
              <w:rPr>
                <w:rFonts w:hint="eastAsia" w:ascii="宋体" w:hAnsi="宋体" w:eastAsia="宋体" w:cs="宋体"/>
                <w:sz w:val="24"/>
              </w:rPr>
            </w:pPr>
          </w:p>
        </w:tc>
      </w:tr>
      <w:tr w14:paraId="4F9A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bottom"/>
          </w:tcPr>
          <w:p w14:paraId="11E836C5">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0B52BF6B">
            <w:pPr>
              <w:jc w:val="center"/>
              <w:rPr>
                <w:rFonts w:hint="eastAsia" w:ascii="宋体" w:hAnsi="宋体" w:eastAsia="宋体" w:cs="宋体"/>
                <w:sz w:val="24"/>
              </w:rPr>
            </w:pPr>
            <w:r>
              <w:rPr>
                <w:rFonts w:hint="eastAsia" w:ascii="宋体" w:hAnsi="宋体" w:eastAsia="宋体" w:cs="宋体"/>
                <w:sz w:val="24"/>
              </w:rPr>
              <w:t>兄弟姐妹</w:t>
            </w:r>
          </w:p>
        </w:tc>
        <w:tc>
          <w:tcPr>
            <w:tcW w:w="3641" w:type="dxa"/>
            <w:gridSpan w:val="4"/>
            <w:tcBorders>
              <w:top w:val="single" w:color="auto" w:sz="4" w:space="0"/>
              <w:left w:val="single" w:color="auto" w:sz="4" w:space="0"/>
              <w:bottom w:val="single" w:color="auto" w:sz="4" w:space="0"/>
              <w:right w:val="single" w:color="auto" w:sz="4" w:space="0"/>
            </w:tcBorders>
            <w:noWrap w:val="0"/>
            <w:vAlign w:val="bottom"/>
          </w:tcPr>
          <w:p w14:paraId="5AFA5D7F">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0E4E6E76">
            <w:pPr>
              <w:rPr>
                <w:rFonts w:hint="eastAsia" w:ascii="宋体" w:hAnsi="宋体" w:eastAsia="宋体" w:cs="宋体"/>
                <w:sz w:val="24"/>
              </w:rPr>
            </w:pPr>
          </w:p>
        </w:tc>
      </w:tr>
      <w:tr w14:paraId="75B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5D13E978">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42886C1B">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405326B2">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03686134">
            <w:pPr>
              <w:rPr>
                <w:rFonts w:hint="eastAsia" w:ascii="宋体" w:hAnsi="宋体" w:eastAsia="宋体" w:cs="宋体"/>
                <w:sz w:val="24"/>
              </w:rPr>
            </w:pPr>
          </w:p>
        </w:tc>
      </w:tr>
      <w:tr w14:paraId="563A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6638FBF8">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76C4AA5B">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12F2791C">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251BBB37">
            <w:pPr>
              <w:rPr>
                <w:rFonts w:hint="eastAsia" w:ascii="宋体" w:hAnsi="宋体" w:eastAsia="宋体" w:cs="宋体"/>
                <w:sz w:val="24"/>
              </w:rPr>
            </w:pPr>
          </w:p>
        </w:tc>
      </w:tr>
      <w:tr w14:paraId="6CD6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2186944F">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39989F63">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4598EAA5">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7CC1A318">
            <w:pPr>
              <w:rPr>
                <w:rFonts w:hint="eastAsia" w:ascii="宋体" w:hAnsi="宋体" w:eastAsia="宋体" w:cs="宋体"/>
                <w:sz w:val="24"/>
              </w:rPr>
            </w:pPr>
          </w:p>
        </w:tc>
      </w:tr>
      <w:tr w14:paraId="11DC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5628E750">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1E6DE9FD">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75558F4A">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472D9F29">
            <w:pPr>
              <w:rPr>
                <w:rFonts w:hint="eastAsia" w:ascii="宋体" w:hAnsi="宋体" w:eastAsia="宋体" w:cs="宋体"/>
                <w:sz w:val="24"/>
              </w:rPr>
            </w:pPr>
          </w:p>
        </w:tc>
      </w:tr>
      <w:tr w14:paraId="5206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7942B469">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57058FF8">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16D57D8A">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6CA945F1">
            <w:pPr>
              <w:rPr>
                <w:rFonts w:hint="eastAsia" w:ascii="宋体" w:hAnsi="宋体" w:eastAsia="宋体" w:cs="宋体"/>
                <w:sz w:val="24"/>
              </w:rPr>
            </w:pPr>
          </w:p>
        </w:tc>
      </w:tr>
      <w:tr w14:paraId="73E5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6F73D9FF">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1F62DD26">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45AE6534">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35C6DB48">
            <w:pPr>
              <w:rPr>
                <w:rFonts w:hint="eastAsia" w:ascii="宋体" w:hAnsi="宋体" w:eastAsia="宋体" w:cs="宋体"/>
                <w:sz w:val="24"/>
              </w:rPr>
            </w:pPr>
          </w:p>
        </w:tc>
      </w:tr>
      <w:tr w14:paraId="326C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4D850EF4">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4BAD72DD">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2AB692E3">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608F8BF2">
            <w:pPr>
              <w:rPr>
                <w:rFonts w:hint="eastAsia" w:ascii="宋体" w:hAnsi="宋体" w:eastAsia="宋体" w:cs="宋体"/>
                <w:sz w:val="24"/>
              </w:rPr>
            </w:pPr>
          </w:p>
        </w:tc>
      </w:tr>
      <w:tr w14:paraId="2F6B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0E1316CB">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6DC3A0DB">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592D3274">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2B09A347">
            <w:pPr>
              <w:rPr>
                <w:rFonts w:hint="eastAsia" w:ascii="宋体" w:hAnsi="宋体" w:eastAsia="宋体" w:cs="宋体"/>
                <w:sz w:val="24"/>
              </w:rPr>
            </w:pPr>
          </w:p>
        </w:tc>
      </w:tr>
      <w:tr w14:paraId="7CBD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7D502674">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7EEBC7DA">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2D0566DE">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1EF3548A">
            <w:pPr>
              <w:rPr>
                <w:rFonts w:hint="eastAsia" w:ascii="宋体" w:hAnsi="宋体" w:eastAsia="宋体" w:cs="宋体"/>
                <w:sz w:val="24"/>
              </w:rPr>
            </w:pPr>
          </w:p>
        </w:tc>
      </w:tr>
      <w:tr w14:paraId="594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tcBorders>
              <w:top w:val="single" w:color="auto" w:sz="4" w:space="0"/>
              <w:left w:val="single" w:color="auto" w:sz="4" w:space="0"/>
              <w:bottom w:val="single" w:color="auto" w:sz="4" w:space="0"/>
              <w:right w:val="single" w:color="auto" w:sz="4" w:space="0"/>
            </w:tcBorders>
            <w:noWrap w:val="0"/>
            <w:vAlign w:val="top"/>
          </w:tcPr>
          <w:p w14:paraId="5B4D5633">
            <w:pPr>
              <w:jc w:val="center"/>
              <w:rPr>
                <w:rFonts w:hint="eastAsia" w:ascii="宋体" w:hAnsi="宋体" w:eastAsia="宋体" w:cs="宋体"/>
                <w:sz w:val="24"/>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65939848">
            <w:pPr>
              <w:jc w:val="center"/>
              <w:rPr>
                <w:rFonts w:hint="eastAsia" w:ascii="宋体" w:hAnsi="宋体" w:eastAsia="宋体" w:cs="宋体"/>
                <w:sz w:val="24"/>
              </w:rPr>
            </w:pPr>
          </w:p>
        </w:tc>
        <w:tc>
          <w:tcPr>
            <w:tcW w:w="3641" w:type="dxa"/>
            <w:gridSpan w:val="4"/>
            <w:tcBorders>
              <w:top w:val="single" w:color="auto" w:sz="4" w:space="0"/>
              <w:left w:val="single" w:color="auto" w:sz="4" w:space="0"/>
              <w:bottom w:val="single" w:color="auto" w:sz="4" w:space="0"/>
              <w:right w:val="single" w:color="auto" w:sz="4" w:space="0"/>
            </w:tcBorders>
            <w:noWrap w:val="0"/>
            <w:vAlign w:val="top"/>
          </w:tcPr>
          <w:p w14:paraId="20D8FDB6">
            <w:pPr>
              <w:jc w:val="center"/>
              <w:rPr>
                <w:rFonts w:hint="eastAsia" w:ascii="宋体" w:hAnsi="宋体" w:eastAsia="宋体" w:cs="宋体"/>
                <w:sz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14:paraId="17C1BD43">
            <w:pPr>
              <w:rPr>
                <w:rFonts w:hint="eastAsia" w:ascii="宋体" w:hAnsi="宋体" w:eastAsia="宋体" w:cs="宋体"/>
                <w:sz w:val="24"/>
              </w:rPr>
            </w:pPr>
          </w:p>
        </w:tc>
      </w:tr>
    </w:tbl>
    <w:p w14:paraId="656CA258">
      <w:pPr>
        <w:ind w:firstLine="480"/>
        <w:rPr>
          <w:rFonts w:hint="eastAsia" w:ascii="宋体" w:hAnsi="宋体" w:eastAsia="宋体" w:cs="宋体"/>
          <w:sz w:val="24"/>
        </w:rPr>
      </w:pPr>
      <w:r>
        <w:rPr>
          <w:rFonts w:hint="eastAsia" w:ascii="宋体" w:hAnsi="宋体" w:eastAsia="宋体" w:cs="宋体"/>
          <w:sz w:val="24"/>
        </w:rPr>
        <w:t>注：在上述期间，若没有买卖过公司股票，请</w:t>
      </w:r>
      <w:r>
        <w:rPr>
          <w:rFonts w:hint="eastAsia" w:ascii="宋体" w:hAnsi="宋体" w:cs="宋体"/>
          <w:sz w:val="24"/>
          <w:lang w:val="en-US" w:eastAsia="zh-CN"/>
        </w:rPr>
        <w:t>填</w:t>
      </w:r>
      <w:r>
        <w:rPr>
          <w:rFonts w:hint="eastAsia" w:ascii="宋体" w:hAnsi="宋体" w:eastAsia="宋体" w:cs="宋体"/>
          <w:sz w:val="24"/>
        </w:rPr>
        <w:t>写“无”，若买卖过公司股票，请填写“有”，并进行相关情况说明。</w:t>
      </w:r>
    </w:p>
    <w:p w14:paraId="1D7BB5FC">
      <w:pPr>
        <w:ind w:firstLine="480"/>
        <w:rPr>
          <w:rFonts w:hint="eastAsia" w:ascii="宋体" w:hAnsi="宋体" w:eastAsia="宋体" w:cs="宋体"/>
          <w:sz w:val="24"/>
        </w:rPr>
      </w:pPr>
      <w:bookmarkStart w:id="0" w:name="_GoBack"/>
      <w:bookmarkEnd w:id="0"/>
    </w:p>
    <w:p w14:paraId="19E4903A">
      <w:pPr>
        <w:ind w:firstLine="480"/>
        <w:rPr>
          <w:rFonts w:hint="eastAsia" w:ascii="宋体" w:hAnsi="宋体" w:eastAsia="宋体" w:cs="宋体"/>
          <w:sz w:val="24"/>
        </w:rPr>
      </w:pPr>
    </w:p>
    <w:p w14:paraId="1C8A98CF">
      <w:pPr>
        <w:ind w:firstLine="480"/>
        <w:rPr>
          <w:rFonts w:hint="eastAsia" w:ascii="宋体" w:hAnsi="宋体" w:eastAsia="宋体" w:cs="宋体"/>
          <w:sz w:val="24"/>
        </w:rPr>
      </w:pPr>
    </w:p>
    <w:p w14:paraId="432207F4">
      <w:pPr>
        <w:ind w:firstLine="6600" w:firstLineChars="2750"/>
        <w:rPr>
          <w:rFonts w:hint="eastAsia" w:ascii="宋体" w:hAnsi="宋体" w:eastAsia="宋体" w:cs="宋体"/>
          <w:sz w:val="24"/>
        </w:rPr>
      </w:pPr>
      <w:r>
        <w:rPr>
          <w:rFonts w:hint="eastAsia" w:ascii="宋体" w:hAnsi="宋体" w:eastAsia="宋体" w:cs="宋体"/>
          <w:sz w:val="24"/>
        </w:rPr>
        <w:t>签字：</w:t>
      </w:r>
    </w:p>
    <w:p w14:paraId="643CBAE5">
      <w:pPr>
        <w:ind w:firstLine="480"/>
        <w:rPr>
          <w:rFonts w:hint="eastAsia" w:ascii="宋体" w:hAnsi="宋体" w:eastAsia="宋体" w:cs="宋体"/>
          <w:sz w:val="24"/>
        </w:rPr>
      </w:pPr>
    </w:p>
    <w:p w14:paraId="6CDAD70E">
      <w:pPr>
        <w:ind w:firstLine="6600" w:firstLineChars="2750"/>
        <w:rPr>
          <w:rFonts w:hint="eastAsia" w:ascii="宋体" w:hAnsi="宋体" w:eastAsia="宋体" w:cs="宋体"/>
          <w:sz w:val="24"/>
        </w:rPr>
      </w:pPr>
      <w:r>
        <w:rPr>
          <w:rFonts w:hint="eastAsia" w:ascii="宋体" w:hAnsi="宋体" w:eastAsia="宋体" w:cs="宋体"/>
          <w:sz w:val="24"/>
        </w:rPr>
        <w:t>年   月   日</w:t>
      </w:r>
    </w:p>
    <w:p w14:paraId="7312E02B">
      <w:pPr>
        <w:rPr>
          <w:rFonts w:hint="eastAsia" w:ascii="宋体" w:hAnsi="宋体" w:eastAsia="宋体" w:cs="宋体"/>
        </w:rPr>
      </w:pPr>
    </w:p>
    <w:p w14:paraId="73D102F9">
      <w:pPr>
        <w:tabs>
          <w:tab w:val="left" w:pos="2410"/>
        </w:tabs>
        <w:spacing w:line="298" w:lineRule="auto"/>
        <w:ind w:left="2410"/>
        <w:rPr>
          <w:rFonts w:hint="eastAsia" w:ascii="宋体" w:hAnsi="宋体" w:eastAsia="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F501">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18CC3199">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3DC9">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0877AC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823F">
    <w:pPr>
      <w:pStyle w:val="5"/>
      <w:tabs>
        <w:tab w:val="center" w:pos="4536"/>
        <w:tab w:val="clear" w:pos="4153"/>
      </w:tabs>
      <w:jc w:val="center"/>
      <w:rPr>
        <w:rFonts w:hint="eastAsia"/>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2905" cy="407670"/>
          <wp:effectExtent l="0" t="0" r="1079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anchor>
      </w:drawing>
    </w:r>
    <w:r>
      <w:rPr>
        <w:rFonts w:hint="eastAsia"/>
      </w:rPr>
      <w:tab/>
    </w:r>
  </w:p>
  <w:p w14:paraId="56B92774">
    <w:pPr>
      <w:pStyle w:val="5"/>
      <w:tabs>
        <w:tab w:val="center" w:pos="4536"/>
        <w:tab w:val="clear" w:pos="4153"/>
      </w:tabs>
      <w:jc w:val="center"/>
      <w:rPr>
        <w:rFonts w:hint="eastAsia"/>
      </w:rPr>
    </w:pPr>
  </w:p>
  <w:p w14:paraId="16473D9A">
    <w:pPr>
      <w:pStyle w:val="5"/>
      <w:tabs>
        <w:tab w:val="center" w:pos="4536"/>
        <w:tab w:val="clear" w:pos="4153"/>
      </w:tabs>
      <w:jc w:val="center"/>
      <w:rPr>
        <w:rFonts w:hint="eastAsia"/>
      </w:rPr>
    </w:pPr>
    <w:r>
      <w:rPr>
        <w:rFonts w:hint="eastAsia"/>
      </w:rPr>
      <w:t>永兴特种材料科技股份有限公司内幕信息知情人登记管理制度</w:t>
    </w:r>
  </w:p>
  <w:p w14:paraId="72D69D99">
    <w:pPr>
      <w:pStyle w:val="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B0E96"/>
    <w:multiLevelType w:val="multilevel"/>
    <w:tmpl w:val="29CB0E96"/>
    <w:lvl w:ilvl="0" w:tentative="0">
      <w:start w:val="1"/>
      <w:numFmt w:val="chineseCountingThousand"/>
      <w:lvlText w:val="第%1条"/>
      <w:lvlJc w:val="left"/>
      <w:pPr>
        <w:tabs>
          <w:tab w:val="left" w:pos="816"/>
        </w:tabs>
        <w:ind w:left="816" w:hanging="396"/>
      </w:pPr>
      <w:rPr>
        <w:rFonts w:hint="default" w:ascii="Arial" w:hAnsi="Arial" w:eastAsia="宋体"/>
        <w:b w:val="0"/>
        <w:i w:val="0"/>
        <w:sz w:val="23"/>
        <w:szCs w:val="23"/>
      </w:rPr>
    </w:lvl>
    <w:lvl w:ilvl="1" w:tentative="0">
      <w:start w:val="1"/>
      <w:numFmt w:val="chineseCountingThousand"/>
      <w:lvlText w:val="第%2条"/>
      <w:lvlJc w:val="left"/>
      <w:pPr>
        <w:tabs>
          <w:tab w:val="left" w:pos="816"/>
        </w:tabs>
        <w:ind w:left="816" w:hanging="396"/>
      </w:pPr>
      <w:rPr>
        <w:rFonts w:hint="default" w:ascii="Arial" w:hAnsi="Arial" w:eastAsia="宋体"/>
        <w:b w:val="0"/>
        <w:i w:val="0"/>
        <w:sz w:val="24"/>
        <w:szCs w:val="24"/>
      </w:rPr>
    </w:lvl>
    <w:lvl w:ilvl="2" w:tentative="0">
      <w:start w:val="1"/>
      <w:numFmt w:val="chineseCountingThousand"/>
      <w:lvlText w:val="(%3)"/>
      <w:lvlJc w:val="left"/>
      <w:pPr>
        <w:tabs>
          <w:tab w:val="left" w:pos="1200"/>
        </w:tabs>
        <w:ind w:left="1200" w:hanging="360"/>
      </w:pPr>
      <w:rPr>
        <w:rFonts w:hint="default" w:ascii="Arial" w:hAnsi="Arial" w:eastAsia="宋体"/>
        <w:b w:val="0"/>
        <w:i w:val="0"/>
        <w:sz w:val="23"/>
        <w:szCs w:val="23"/>
      </w:rPr>
    </w:lvl>
    <w:lvl w:ilvl="3" w:tentative="0">
      <w:start w:val="1"/>
      <w:numFmt w:val="japaneseCounting"/>
      <w:lvlText w:val="（%4）"/>
      <w:lvlJc w:val="left"/>
      <w:pPr>
        <w:tabs>
          <w:tab w:val="left" w:pos="1980"/>
        </w:tabs>
        <w:ind w:left="1980" w:hanging="720"/>
      </w:pPr>
      <w:rPr>
        <w:rFonts w:hint="default" w:ascii="宋体" w:hAnsi="宋体" w:eastAsia="宋体" w:cs="Arial"/>
        <w:b w:val="0"/>
        <w:i w:val="0"/>
        <w:sz w:val="24"/>
        <w:szCs w:val="24"/>
      </w:rPr>
    </w:lvl>
    <w:lvl w:ilvl="4" w:tentative="0">
      <w:start w:val="1"/>
      <w:numFmt w:val="japaneseCounting"/>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070076"/>
    <w:multiLevelType w:val="multilevel"/>
    <w:tmpl w:val="44070076"/>
    <w:lvl w:ilvl="0" w:tentative="0">
      <w:start w:val="1"/>
      <w:numFmt w:val="japaneseCounting"/>
      <w:lvlText w:val="第%1章"/>
      <w:lvlJc w:val="left"/>
      <w:pPr>
        <w:tabs>
          <w:tab w:val="left" w:pos="4260"/>
        </w:tabs>
        <w:ind w:left="4260" w:hanging="825"/>
      </w:pPr>
      <w:rPr>
        <w:rFonts w:hint="eastAsia" w:ascii="宋体" w:hAnsi="宋体" w:eastAsia="宋体" w:cs="宋体"/>
        <w:b/>
      </w:rPr>
    </w:lvl>
    <w:lvl w:ilvl="1" w:tentative="0">
      <w:start w:val="1"/>
      <w:numFmt w:val="japaneseCounting"/>
      <w:lvlText w:val="第%2条"/>
      <w:lvlJc w:val="left"/>
      <w:pPr>
        <w:tabs>
          <w:tab w:val="left" w:pos="4575"/>
        </w:tabs>
        <w:ind w:left="4575" w:hanging="720"/>
      </w:pPr>
      <w:rPr>
        <w:rFonts w:hint="default"/>
      </w:rPr>
    </w:lvl>
    <w:lvl w:ilvl="2" w:tentative="0">
      <w:start w:val="1"/>
      <w:numFmt w:val="lowerRoman"/>
      <w:lvlText w:val="%3."/>
      <w:lvlJc w:val="right"/>
      <w:pPr>
        <w:tabs>
          <w:tab w:val="left" w:pos="4695"/>
        </w:tabs>
        <w:ind w:left="4695" w:hanging="420"/>
      </w:pPr>
    </w:lvl>
    <w:lvl w:ilvl="3" w:tentative="0">
      <w:start w:val="1"/>
      <w:numFmt w:val="decimal"/>
      <w:lvlText w:val="%4."/>
      <w:lvlJc w:val="left"/>
      <w:pPr>
        <w:tabs>
          <w:tab w:val="left" w:pos="5115"/>
        </w:tabs>
        <w:ind w:left="5115" w:hanging="420"/>
      </w:pPr>
    </w:lvl>
    <w:lvl w:ilvl="4" w:tentative="0">
      <w:start w:val="1"/>
      <w:numFmt w:val="lowerLetter"/>
      <w:lvlText w:val="%5)"/>
      <w:lvlJc w:val="left"/>
      <w:pPr>
        <w:tabs>
          <w:tab w:val="left" w:pos="5535"/>
        </w:tabs>
        <w:ind w:left="5535" w:hanging="420"/>
      </w:pPr>
    </w:lvl>
    <w:lvl w:ilvl="5" w:tentative="0">
      <w:start w:val="1"/>
      <w:numFmt w:val="lowerRoman"/>
      <w:lvlText w:val="%6."/>
      <w:lvlJc w:val="right"/>
      <w:pPr>
        <w:tabs>
          <w:tab w:val="left" w:pos="5955"/>
        </w:tabs>
        <w:ind w:left="5955" w:hanging="420"/>
      </w:pPr>
    </w:lvl>
    <w:lvl w:ilvl="6" w:tentative="0">
      <w:start w:val="1"/>
      <w:numFmt w:val="decimal"/>
      <w:lvlText w:val="%7."/>
      <w:lvlJc w:val="left"/>
      <w:pPr>
        <w:tabs>
          <w:tab w:val="left" w:pos="6375"/>
        </w:tabs>
        <w:ind w:left="6375" w:hanging="420"/>
      </w:pPr>
    </w:lvl>
    <w:lvl w:ilvl="7" w:tentative="0">
      <w:start w:val="1"/>
      <w:numFmt w:val="lowerLetter"/>
      <w:lvlText w:val="%8)"/>
      <w:lvlJc w:val="left"/>
      <w:pPr>
        <w:tabs>
          <w:tab w:val="left" w:pos="6795"/>
        </w:tabs>
        <w:ind w:left="6795" w:hanging="420"/>
      </w:pPr>
    </w:lvl>
    <w:lvl w:ilvl="8" w:tentative="0">
      <w:start w:val="1"/>
      <w:numFmt w:val="lowerRoman"/>
      <w:lvlText w:val="%9."/>
      <w:lvlJc w:val="right"/>
      <w:pPr>
        <w:tabs>
          <w:tab w:val="left" w:pos="7215"/>
        </w:tabs>
        <w:ind w:left="7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38F"/>
    <w:rsid w:val="0000184D"/>
    <w:rsid w:val="0001227D"/>
    <w:rsid w:val="000222D2"/>
    <w:rsid w:val="00024814"/>
    <w:rsid w:val="00032C35"/>
    <w:rsid w:val="00044712"/>
    <w:rsid w:val="00050444"/>
    <w:rsid w:val="00065774"/>
    <w:rsid w:val="00066EFB"/>
    <w:rsid w:val="0008424D"/>
    <w:rsid w:val="000B1287"/>
    <w:rsid w:val="000B4C33"/>
    <w:rsid w:val="000B4FA1"/>
    <w:rsid w:val="000B56C9"/>
    <w:rsid w:val="000C4609"/>
    <w:rsid w:val="000D1E2C"/>
    <w:rsid w:val="000D587B"/>
    <w:rsid w:val="000D6799"/>
    <w:rsid w:val="000E0CCA"/>
    <w:rsid w:val="000E71C4"/>
    <w:rsid w:val="000F2E93"/>
    <w:rsid w:val="000F2FD5"/>
    <w:rsid w:val="00107AAC"/>
    <w:rsid w:val="0011763D"/>
    <w:rsid w:val="00130999"/>
    <w:rsid w:val="00133778"/>
    <w:rsid w:val="00135A34"/>
    <w:rsid w:val="00147737"/>
    <w:rsid w:val="00151D09"/>
    <w:rsid w:val="00157EAE"/>
    <w:rsid w:val="00161A1D"/>
    <w:rsid w:val="00177E76"/>
    <w:rsid w:val="00183F62"/>
    <w:rsid w:val="001928BD"/>
    <w:rsid w:val="00192E70"/>
    <w:rsid w:val="00194221"/>
    <w:rsid w:val="001A036A"/>
    <w:rsid w:val="001A19F9"/>
    <w:rsid w:val="001B57D8"/>
    <w:rsid w:val="001D10A5"/>
    <w:rsid w:val="001D621F"/>
    <w:rsid w:val="001D6C3A"/>
    <w:rsid w:val="001E3977"/>
    <w:rsid w:val="001F7875"/>
    <w:rsid w:val="001F7FFC"/>
    <w:rsid w:val="002049BD"/>
    <w:rsid w:val="00207CD0"/>
    <w:rsid w:val="0021098B"/>
    <w:rsid w:val="00214182"/>
    <w:rsid w:val="0021585F"/>
    <w:rsid w:val="002276DF"/>
    <w:rsid w:val="00232F62"/>
    <w:rsid w:val="00235C9C"/>
    <w:rsid w:val="0025524A"/>
    <w:rsid w:val="00275452"/>
    <w:rsid w:val="00280053"/>
    <w:rsid w:val="00285413"/>
    <w:rsid w:val="002A567F"/>
    <w:rsid w:val="002A6027"/>
    <w:rsid w:val="002B5182"/>
    <w:rsid w:val="002B6075"/>
    <w:rsid w:val="002C04DF"/>
    <w:rsid w:val="002D2FD6"/>
    <w:rsid w:val="002D463E"/>
    <w:rsid w:val="002D6C87"/>
    <w:rsid w:val="002E75BB"/>
    <w:rsid w:val="00306975"/>
    <w:rsid w:val="003072D1"/>
    <w:rsid w:val="00311FC3"/>
    <w:rsid w:val="00316227"/>
    <w:rsid w:val="00330108"/>
    <w:rsid w:val="003337CE"/>
    <w:rsid w:val="003453C6"/>
    <w:rsid w:val="00357EA7"/>
    <w:rsid w:val="00385F69"/>
    <w:rsid w:val="00387A50"/>
    <w:rsid w:val="003A456A"/>
    <w:rsid w:val="003A6AD8"/>
    <w:rsid w:val="003B2E38"/>
    <w:rsid w:val="003C5891"/>
    <w:rsid w:val="003C7006"/>
    <w:rsid w:val="003C7559"/>
    <w:rsid w:val="003C7EE9"/>
    <w:rsid w:val="003D41F9"/>
    <w:rsid w:val="003E6BB9"/>
    <w:rsid w:val="003F2BDB"/>
    <w:rsid w:val="003F477A"/>
    <w:rsid w:val="003F4C60"/>
    <w:rsid w:val="00400F5B"/>
    <w:rsid w:val="004022D2"/>
    <w:rsid w:val="004042ED"/>
    <w:rsid w:val="00406B90"/>
    <w:rsid w:val="0041099F"/>
    <w:rsid w:val="00414939"/>
    <w:rsid w:val="004220AB"/>
    <w:rsid w:val="004335D7"/>
    <w:rsid w:val="00435115"/>
    <w:rsid w:val="00441912"/>
    <w:rsid w:val="00464694"/>
    <w:rsid w:val="00464BF5"/>
    <w:rsid w:val="004722D7"/>
    <w:rsid w:val="00480C62"/>
    <w:rsid w:val="00483F82"/>
    <w:rsid w:val="0048545D"/>
    <w:rsid w:val="0049087A"/>
    <w:rsid w:val="00493183"/>
    <w:rsid w:val="004B2582"/>
    <w:rsid w:val="004B2C1E"/>
    <w:rsid w:val="004B4A02"/>
    <w:rsid w:val="004B7CC2"/>
    <w:rsid w:val="004C0893"/>
    <w:rsid w:val="004C5D36"/>
    <w:rsid w:val="004C7FB1"/>
    <w:rsid w:val="004D2FDF"/>
    <w:rsid w:val="004E12DE"/>
    <w:rsid w:val="004E1703"/>
    <w:rsid w:val="00510867"/>
    <w:rsid w:val="005110D8"/>
    <w:rsid w:val="005148E6"/>
    <w:rsid w:val="00526264"/>
    <w:rsid w:val="00536F10"/>
    <w:rsid w:val="00537850"/>
    <w:rsid w:val="0054043A"/>
    <w:rsid w:val="00541947"/>
    <w:rsid w:val="005428A5"/>
    <w:rsid w:val="00563486"/>
    <w:rsid w:val="005676D4"/>
    <w:rsid w:val="00567DFB"/>
    <w:rsid w:val="005709B9"/>
    <w:rsid w:val="00575DD1"/>
    <w:rsid w:val="005816F1"/>
    <w:rsid w:val="005839E5"/>
    <w:rsid w:val="00592C73"/>
    <w:rsid w:val="00595B23"/>
    <w:rsid w:val="005A0036"/>
    <w:rsid w:val="005A26D3"/>
    <w:rsid w:val="005A278C"/>
    <w:rsid w:val="005B0A92"/>
    <w:rsid w:val="005B2F01"/>
    <w:rsid w:val="005C0553"/>
    <w:rsid w:val="005C3D69"/>
    <w:rsid w:val="005D02A9"/>
    <w:rsid w:val="005E4A51"/>
    <w:rsid w:val="005E5D36"/>
    <w:rsid w:val="005F0345"/>
    <w:rsid w:val="005F1284"/>
    <w:rsid w:val="005F38A1"/>
    <w:rsid w:val="005F5036"/>
    <w:rsid w:val="005F573A"/>
    <w:rsid w:val="00600193"/>
    <w:rsid w:val="006062C1"/>
    <w:rsid w:val="00610943"/>
    <w:rsid w:val="00623C89"/>
    <w:rsid w:val="00624E91"/>
    <w:rsid w:val="006255B5"/>
    <w:rsid w:val="006256A2"/>
    <w:rsid w:val="00630C3D"/>
    <w:rsid w:val="0063307D"/>
    <w:rsid w:val="00635096"/>
    <w:rsid w:val="00641428"/>
    <w:rsid w:val="006509F6"/>
    <w:rsid w:val="00651951"/>
    <w:rsid w:val="00672DB4"/>
    <w:rsid w:val="0067470E"/>
    <w:rsid w:val="0067717B"/>
    <w:rsid w:val="006B2654"/>
    <w:rsid w:val="006B72E5"/>
    <w:rsid w:val="006C0048"/>
    <w:rsid w:val="006C22F3"/>
    <w:rsid w:val="006C524F"/>
    <w:rsid w:val="006C7BCD"/>
    <w:rsid w:val="006C7BF6"/>
    <w:rsid w:val="006D0AAB"/>
    <w:rsid w:val="006E03D5"/>
    <w:rsid w:val="006E224A"/>
    <w:rsid w:val="006E716F"/>
    <w:rsid w:val="00700FA2"/>
    <w:rsid w:val="00715F0F"/>
    <w:rsid w:val="0072634E"/>
    <w:rsid w:val="00732191"/>
    <w:rsid w:val="0074429D"/>
    <w:rsid w:val="0075525B"/>
    <w:rsid w:val="007555EB"/>
    <w:rsid w:val="0075603C"/>
    <w:rsid w:val="00762AA5"/>
    <w:rsid w:val="0076387A"/>
    <w:rsid w:val="00765DF4"/>
    <w:rsid w:val="007670B1"/>
    <w:rsid w:val="00772636"/>
    <w:rsid w:val="0078579B"/>
    <w:rsid w:val="00791E62"/>
    <w:rsid w:val="00793ADB"/>
    <w:rsid w:val="00794E4B"/>
    <w:rsid w:val="00795A85"/>
    <w:rsid w:val="007A3642"/>
    <w:rsid w:val="007A7D45"/>
    <w:rsid w:val="007B1634"/>
    <w:rsid w:val="007B24F0"/>
    <w:rsid w:val="007C1530"/>
    <w:rsid w:val="007C739C"/>
    <w:rsid w:val="007E4509"/>
    <w:rsid w:val="007E4755"/>
    <w:rsid w:val="007E4B47"/>
    <w:rsid w:val="007F5A0F"/>
    <w:rsid w:val="00800443"/>
    <w:rsid w:val="00806DFC"/>
    <w:rsid w:val="00817642"/>
    <w:rsid w:val="00822749"/>
    <w:rsid w:val="008254C1"/>
    <w:rsid w:val="00827111"/>
    <w:rsid w:val="0082761D"/>
    <w:rsid w:val="008336F9"/>
    <w:rsid w:val="00833BF2"/>
    <w:rsid w:val="00845D60"/>
    <w:rsid w:val="0084670D"/>
    <w:rsid w:val="008536A0"/>
    <w:rsid w:val="008640A0"/>
    <w:rsid w:val="00867B6C"/>
    <w:rsid w:val="00877726"/>
    <w:rsid w:val="00880E5B"/>
    <w:rsid w:val="00881F7C"/>
    <w:rsid w:val="00883E62"/>
    <w:rsid w:val="008850C7"/>
    <w:rsid w:val="008A1F59"/>
    <w:rsid w:val="008A342B"/>
    <w:rsid w:val="008B15C1"/>
    <w:rsid w:val="008B199A"/>
    <w:rsid w:val="008B69F6"/>
    <w:rsid w:val="008D00E3"/>
    <w:rsid w:val="008D65D1"/>
    <w:rsid w:val="008E5C59"/>
    <w:rsid w:val="009011A6"/>
    <w:rsid w:val="00901C68"/>
    <w:rsid w:val="00903950"/>
    <w:rsid w:val="00907820"/>
    <w:rsid w:val="00912D55"/>
    <w:rsid w:val="00912E09"/>
    <w:rsid w:val="0092303E"/>
    <w:rsid w:val="00930D3B"/>
    <w:rsid w:val="0093153D"/>
    <w:rsid w:val="00932D98"/>
    <w:rsid w:val="00932EBA"/>
    <w:rsid w:val="00936A1D"/>
    <w:rsid w:val="00943F43"/>
    <w:rsid w:val="00952A95"/>
    <w:rsid w:val="00960561"/>
    <w:rsid w:val="00962720"/>
    <w:rsid w:val="009721F3"/>
    <w:rsid w:val="00983BA3"/>
    <w:rsid w:val="00985803"/>
    <w:rsid w:val="00987981"/>
    <w:rsid w:val="00993AF1"/>
    <w:rsid w:val="009A57C8"/>
    <w:rsid w:val="009B1223"/>
    <w:rsid w:val="009B3F5F"/>
    <w:rsid w:val="009C68CA"/>
    <w:rsid w:val="009D1530"/>
    <w:rsid w:val="009D776C"/>
    <w:rsid w:val="009F3ADF"/>
    <w:rsid w:val="00A030EF"/>
    <w:rsid w:val="00A049D9"/>
    <w:rsid w:val="00A149EB"/>
    <w:rsid w:val="00A166B6"/>
    <w:rsid w:val="00A201BD"/>
    <w:rsid w:val="00A214FC"/>
    <w:rsid w:val="00A31FC6"/>
    <w:rsid w:val="00A41AB9"/>
    <w:rsid w:val="00A44472"/>
    <w:rsid w:val="00A56CEA"/>
    <w:rsid w:val="00A61C71"/>
    <w:rsid w:val="00A6546D"/>
    <w:rsid w:val="00A825AA"/>
    <w:rsid w:val="00A82896"/>
    <w:rsid w:val="00A905B1"/>
    <w:rsid w:val="00A9076F"/>
    <w:rsid w:val="00A958B6"/>
    <w:rsid w:val="00AA2AA6"/>
    <w:rsid w:val="00AB1B2E"/>
    <w:rsid w:val="00AB3891"/>
    <w:rsid w:val="00AC0769"/>
    <w:rsid w:val="00AC721B"/>
    <w:rsid w:val="00AC7CC7"/>
    <w:rsid w:val="00AD2086"/>
    <w:rsid w:val="00AD22A0"/>
    <w:rsid w:val="00AD2601"/>
    <w:rsid w:val="00AD5A96"/>
    <w:rsid w:val="00AD75B4"/>
    <w:rsid w:val="00AE47E4"/>
    <w:rsid w:val="00AE5EC7"/>
    <w:rsid w:val="00AF2544"/>
    <w:rsid w:val="00AF35D4"/>
    <w:rsid w:val="00B009E9"/>
    <w:rsid w:val="00B00DE7"/>
    <w:rsid w:val="00B03F86"/>
    <w:rsid w:val="00B06F55"/>
    <w:rsid w:val="00B13566"/>
    <w:rsid w:val="00B35EF9"/>
    <w:rsid w:val="00B420F0"/>
    <w:rsid w:val="00B445EB"/>
    <w:rsid w:val="00B53D12"/>
    <w:rsid w:val="00B57910"/>
    <w:rsid w:val="00B63F92"/>
    <w:rsid w:val="00B65568"/>
    <w:rsid w:val="00B7146A"/>
    <w:rsid w:val="00B75C21"/>
    <w:rsid w:val="00B910D9"/>
    <w:rsid w:val="00BA050B"/>
    <w:rsid w:val="00BA3393"/>
    <w:rsid w:val="00BB6C97"/>
    <w:rsid w:val="00BC6034"/>
    <w:rsid w:val="00BD14FF"/>
    <w:rsid w:val="00BD44BA"/>
    <w:rsid w:val="00BE0386"/>
    <w:rsid w:val="00BE1795"/>
    <w:rsid w:val="00BE5C2F"/>
    <w:rsid w:val="00BF3146"/>
    <w:rsid w:val="00BF6B63"/>
    <w:rsid w:val="00C00B95"/>
    <w:rsid w:val="00C04533"/>
    <w:rsid w:val="00C07183"/>
    <w:rsid w:val="00C12B89"/>
    <w:rsid w:val="00C14C29"/>
    <w:rsid w:val="00C17EC4"/>
    <w:rsid w:val="00C21508"/>
    <w:rsid w:val="00C21FC9"/>
    <w:rsid w:val="00C24CEE"/>
    <w:rsid w:val="00C27DA1"/>
    <w:rsid w:val="00C307D2"/>
    <w:rsid w:val="00C350D9"/>
    <w:rsid w:val="00C351EE"/>
    <w:rsid w:val="00C36A0F"/>
    <w:rsid w:val="00C45DB9"/>
    <w:rsid w:val="00C61865"/>
    <w:rsid w:val="00C658DB"/>
    <w:rsid w:val="00C7114B"/>
    <w:rsid w:val="00C73507"/>
    <w:rsid w:val="00C775BC"/>
    <w:rsid w:val="00C82444"/>
    <w:rsid w:val="00C90BD2"/>
    <w:rsid w:val="00CA2A9B"/>
    <w:rsid w:val="00CA2EE0"/>
    <w:rsid w:val="00CA3B9C"/>
    <w:rsid w:val="00CB6A96"/>
    <w:rsid w:val="00CC58A2"/>
    <w:rsid w:val="00CD0890"/>
    <w:rsid w:val="00CD49C5"/>
    <w:rsid w:val="00CD6DE3"/>
    <w:rsid w:val="00CE017E"/>
    <w:rsid w:val="00CE04D5"/>
    <w:rsid w:val="00CE7379"/>
    <w:rsid w:val="00D01907"/>
    <w:rsid w:val="00D03CE6"/>
    <w:rsid w:val="00D05617"/>
    <w:rsid w:val="00D06907"/>
    <w:rsid w:val="00D30385"/>
    <w:rsid w:val="00D33133"/>
    <w:rsid w:val="00D347F1"/>
    <w:rsid w:val="00D34A36"/>
    <w:rsid w:val="00D35DCB"/>
    <w:rsid w:val="00D44F3D"/>
    <w:rsid w:val="00D4598B"/>
    <w:rsid w:val="00D52A54"/>
    <w:rsid w:val="00D53A9E"/>
    <w:rsid w:val="00D6040F"/>
    <w:rsid w:val="00D77AC1"/>
    <w:rsid w:val="00D85FE9"/>
    <w:rsid w:val="00D877E8"/>
    <w:rsid w:val="00D91606"/>
    <w:rsid w:val="00DA02E4"/>
    <w:rsid w:val="00DA195A"/>
    <w:rsid w:val="00DA6191"/>
    <w:rsid w:val="00DC1A7F"/>
    <w:rsid w:val="00DE63C0"/>
    <w:rsid w:val="00DF4439"/>
    <w:rsid w:val="00E00B80"/>
    <w:rsid w:val="00E01420"/>
    <w:rsid w:val="00E0209E"/>
    <w:rsid w:val="00E045D4"/>
    <w:rsid w:val="00E05823"/>
    <w:rsid w:val="00E1186B"/>
    <w:rsid w:val="00E14B6A"/>
    <w:rsid w:val="00E17817"/>
    <w:rsid w:val="00E213C6"/>
    <w:rsid w:val="00E261BA"/>
    <w:rsid w:val="00E263D0"/>
    <w:rsid w:val="00E319CD"/>
    <w:rsid w:val="00E341DD"/>
    <w:rsid w:val="00E42EFB"/>
    <w:rsid w:val="00E47853"/>
    <w:rsid w:val="00E506FC"/>
    <w:rsid w:val="00E579DD"/>
    <w:rsid w:val="00E63A5E"/>
    <w:rsid w:val="00E6544B"/>
    <w:rsid w:val="00E80263"/>
    <w:rsid w:val="00E84210"/>
    <w:rsid w:val="00E84DF9"/>
    <w:rsid w:val="00E864E1"/>
    <w:rsid w:val="00E87AB7"/>
    <w:rsid w:val="00E91A9C"/>
    <w:rsid w:val="00E9696E"/>
    <w:rsid w:val="00E97013"/>
    <w:rsid w:val="00EA45F8"/>
    <w:rsid w:val="00EA4A69"/>
    <w:rsid w:val="00EB08C7"/>
    <w:rsid w:val="00EB2011"/>
    <w:rsid w:val="00EC1E4E"/>
    <w:rsid w:val="00ED1DC5"/>
    <w:rsid w:val="00ED6CD5"/>
    <w:rsid w:val="00EE4226"/>
    <w:rsid w:val="00EF2956"/>
    <w:rsid w:val="00EF7282"/>
    <w:rsid w:val="00F01F0B"/>
    <w:rsid w:val="00F022B8"/>
    <w:rsid w:val="00F03C52"/>
    <w:rsid w:val="00F10166"/>
    <w:rsid w:val="00F10476"/>
    <w:rsid w:val="00F11E88"/>
    <w:rsid w:val="00F130FF"/>
    <w:rsid w:val="00F14561"/>
    <w:rsid w:val="00F373F5"/>
    <w:rsid w:val="00F41B5D"/>
    <w:rsid w:val="00F41BFE"/>
    <w:rsid w:val="00F45A0D"/>
    <w:rsid w:val="00F46573"/>
    <w:rsid w:val="00F520C2"/>
    <w:rsid w:val="00F5482E"/>
    <w:rsid w:val="00F54AAE"/>
    <w:rsid w:val="00F56E84"/>
    <w:rsid w:val="00F603C0"/>
    <w:rsid w:val="00F612C1"/>
    <w:rsid w:val="00F61521"/>
    <w:rsid w:val="00F70BF5"/>
    <w:rsid w:val="00F72CC1"/>
    <w:rsid w:val="00F7653D"/>
    <w:rsid w:val="00F83157"/>
    <w:rsid w:val="00FA46BA"/>
    <w:rsid w:val="00FB3A3F"/>
    <w:rsid w:val="00FC2B24"/>
    <w:rsid w:val="00FF1A32"/>
    <w:rsid w:val="00FF4C9E"/>
    <w:rsid w:val="00FF7781"/>
    <w:rsid w:val="07645536"/>
    <w:rsid w:val="15AA3681"/>
    <w:rsid w:val="27947A12"/>
    <w:rsid w:val="50A45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0"/>
  </w:style>
  <w:style w:type="character" w:styleId="11">
    <w:name w:val="annotation reference"/>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页眉 字符"/>
    <w:link w:val="5"/>
    <w:qFormat/>
    <w:uiPriority w:val="0"/>
    <w:rPr>
      <w:rFonts w:eastAsia="宋体"/>
      <w:kern w:val="2"/>
      <w:sz w:val="18"/>
      <w:szCs w:val="18"/>
      <w:lang w:val="en-US" w:eastAsia="zh-CN" w:bidi="ar-SA"/>
    </w:rPr>
  </w:style>
  <w:style w:type="character" w:customStyle="1" w:styleId="14">
    <w:name w:val="批注主题 字符"/>
    <w:link w:val="6"/>
    <w:qFormat/>
    <w:uiPriority w:val="0"/>
    <w:rPr>
      <w:b/>
      <w:bCs/>
      <w:kern w:val="2"/>
      <w:sz w:val="21"/>
      <w:szCs w:val="24"/>
    </w:rPr>
  </w:style>
  <w:style w:type="paragraph" w:customStyle="1" w:styleId="15">
    <w:name w:val=" 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6">
    <w:name w:val=" Char"/>
    <w:basedOn w:val="1"/>
    <w:uiPriority w:val="0"/>
    <w:pPr>
      <w:widowControl/>
      <w:spacing w:after="160" w:line="240" w:lineRule="exact"/>
      <w:jc w:val="left"/>
    </w:pPr>
    <w:rPr>
      <w:kern w:val="0"/>
      <w:sz w:val="20"/>
      <w:szCs w:val="20"/>
    </w:rPr>
  </w:style>
  <w:style w:type="paragraph" w:customStyle="1" w:styleId="1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M1"/>
    <w:basedOn w:val="17"/>
    <w:next w:val="17"/>
    <w:qFormat/>
    <w:uiPriority w:val="0"/>
    <w:pPr>
      <w:spacing w:line="468" w:lineRule="atLeast"/>
    </w:pPr>
    <w:rPr>
      <w:color w:val="auto"/>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4895</Words>
  <Characters>4903</Characters>
  <Lines>42</Lines>
  <Paragraphs>11</Paragraphs>
  <TotalTime>28</TotalTime>
  <ScaleCrop>false</ScaleCrop>
  <LinksUpToDate>false</LinksUpToDate>
  <CharactersWithSpaces>5132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2015-06-06T05:43:00Z</dcterms:created>
  <dc:creator>Llinks</dc:creator>
  <cp:lastModifiedBy>lln</cp:lastModifiedBy>
  <cp:lastPrinted>2017-05-22T03:19:00Z</cp:lastPrinted>
  <dcterms:modified xsi:type="dcterms:W3CDTF">2025-09-02T03:16:11Z</dcterms:modified>
  <dc:title>议案十四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279B2160D13042BAA7A56190A7858F9C_13</vt:lpwstr>
  </property>
</Properties>
</file>