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D0A5">
      <w:pPr>
        <w:tabs>
          <w:tab w:val="left" w:pos="1890"/>
          <w:tab w:val="left" w:pos="2520"/>
          <w:tab w:val="left" w:pos="3150"/>
          <w:tab w:val="left" w:pos="3780"/>
        </w:tabs>
        <w:adjustRightInd w:val="0"/>
        <w:snapToGrid w:val="0"/>
        <w:spacing w:line="360" w:lineRule="auto"/>
        <w:jc w:val="center"/>
        <w:rPr>
          <w:rFonts w:ascii="宋体" w:hAnsi="宋体" w:cs="Arial"/>
          <w:b/>
          <w:sz w:val="30"/>
          <w:szCs w:val="30"/>
        </w:rPr>
      </w:pPr>
    </w:p>
    <w:p w14:paraId="2E37AA98">
      <w:pPr>
        <w:tabs>
          <w:tab w:val="left" w:pos="1890"/>
          <w:tab w:val="left" w:pos="2520"/>
          <w:tab w:val="left" w:pos="3150"/>
          <w:tab w:val="left" w:pos="3780"/>
        </w:tabs>
        <w:adjustRightInd w:val="0"/>
        <w:snapToGrid w:val="0"/>
        <w:spacing w:line="360" w:lineRule="auto"/>
        <w:jc w:val="center"/>
        <w:rPr>
          <w:rFonts w:ascii="宋体" w:hAnsi="宋体" w:cs="Arial"/>
          <w:b/>
          <w:sz w:val="32"/>
          <w:szCs w:val="32"/>
        </w:rPr>
      </w:pPr>
      <w:r>
        <w:rPr>
          <w:rFonts w:hint="eastAsia" w:ascii="宋体" w:hAnsi="宋体" w:cs="Arial"/>
          <w:b/>
          <w:sz w:val="32"/>
          <w:szCs w:val="32"/>
        </w:rPr>
        <w:t>永兴特种材料科技股份有限公司</w:t>
      </w:r>
    </w:p>
    <w:p w14:paraId="704C6FC4">
      <w:pPr>
        <w:adjustRightInd w:val="0"/>
        <w:snapToGrid w:val="0"/>
        <w:spacing w:line="360" w:lineRule="auto"/>
        <w:jc w:val="center"/>
        <w:rPr>
          <w:rFonts w:ascii="宋体" w:hAnsi="宋体" w:cs="Arial"/>
          <w:b/>
          <w:sz w:val="32"/>
          <w:szCs w:val="32"/>
        </w:rPr>
      </w:pPr>
      <w:r>
        <w:rPr>
          <w:rFonts w:ascii="宋体" w:hAnsi="宋体" w:cs="Arial"/>
          <w:b/>
          <w:sz w:val="32"/>
          <w:szCs w:val="32"/>
        </w:rPr>
        <w:t>董事、高级管理人员离职管理制度</w:t>
      </w:r>
    </w:p>
    <w:p w14:paraId="4AF3B2E5">
      <w:pPr>
        <w:adjustRightInd w:val="0"/>
        <w:snapToGrid w:val="0"/>
        <w:spacing w:line="360" w:lineRule="auto"/>
        <w:jc w:val="center"/>
        <w:rPr>
          <w:rFonts w:ascii="宋体" w:hAnsi="宋体" w:cs="Arial"/>
          <w:b/>
          <w:sz w:val="23"/>
          <w:szCs w:val="23"/>
        </w:rPr>
      </w:pPr>
    </w:p>
    <w:p w14:paraId="787F2E6A">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总则</w:t>
      </w:r>
    </w:p>
    <w:p w14:paraId="4E3319CF">
      <w:pPr>
        <w:tabs>
          <w:tab w:val="left" w:pos="915"/>
          <w:tab w:val="left" w:pos="1134"/>
          <w:tab w:val="left" w:pos="1418"/>
        </w:tabs>
        <w:adjustRightInd w:val="0"/>
        <w:snapToGrid w:val="0"/>
        <w:spacing w:line="360" w:lineRule="auto"/>
        <w:ind w:left="1134"/>
        <w:rPr>
          <w:rFonts w:ascii="宋体" w:hAnsi="宋体" w:cs="Arial"/>
          <w:b/>
          <w:bCs/>
          <w:sz w:val="23"/>
          <w:szCs w:val="23"/>
        </w:rPr>
      </w:pPr>
    </w:p>
    <w:p w14:paraId="0631D755">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rPr>
      </w:pPr>
      <w:r>
        <w:rPr>
          <w:rFonts w:ascii="宋体" w:hAnsi="宋体" w:cs="Arial"/>
          <w:sz w:val="23"/>
          <w:szCs w:val="23"/>
        </w:rPr>
        <w:t>为规范</w:t>
      </w:r>
      <w:r>
        <w:rPr>
          <w:rFonts w:hint="eastAsia" w:ascii="宋体" w:hAnsi="宋体" w:cs="Arial"/>
          <w:sz w:val="23"/>
          <w:szCs w:val="23"/>
        </w:rPr>
        <w:t>永兴特种材料科技股份有限公司</w:t>
      </w:r>
      <w:r>
        <w:rPr>
          <w:rFonts w:ascii="宋体" w:hAnsi="宋体" w:cs="Arial"/>
          <w:sz w:val="23"/>
          <w:szCs w:val="23"/>
        </w:rPr>
        <w:t>(以下简称“公司”)董事、高级管理人员离职管理, 保障公司治理稳定性及股东合法权益, 根据《中华人民共和国公司法》《上市公司章程指引》等法律法规及《公司章程》的规定, 制定本制度。</w:t>
      </w:r>
    </w:p>
    <w:p w14:paraId="5DA81C36">
      <w:pPr>
        <w:tabs>
          <w:tab w:val="left" w:pos="915"/>
          <w:tab w:val="left" w:pos="1134"/>
          <w:tab w:val="left" w:pos="1418"/>
        </w:tabs>
        <w:adjustRightInd w:val="0"/>
        <w:snapToGrid w:val="0"/>
        <w:spacing w:line="360" w:lineRule="auto"/>
        <w:ind w:left="1134"/>
        <w:rPr>
          <w:rFonts w:ascii="宋体" w:hAnsi="宋体" w:cs="Arial"/>
          <w:sz w:val="23"/>
          <w:szCs w:val="23"/>
        </w:rPr>
      </w:pPr>
    </w:p>
    <w:p w14:paraId="73DAB6AB">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rPr>
      </w:pPr>
      <w:r>
        <w:rPr>
          <w:rFonts w:ascii="宋体" w:hAnsi="宋体" w:cs="Arial"/>
          <w:sz w:val="23"/>
          <w:szCs w:val="23"/>
        </w:rPr>
        <w:t>本制度适用于公司全体董事(含独立董事)及高级管理人员的辞任、任期届满、解任等离职情形。</w:t>
      </w:r>
    </w:p>
    <w:p w14:paraId="6F332EE0">
      <w:pPr>
        <w:tabs>
          <w:tab w:val="left" w:pos="1260"/>
        </w:tabs>
        <w:adjustRightInd w:val="0"/>
        <w:snapToGrid w:val="0"/>
        <w:spacing w:line="360" w:lineRule="auto"/>
        <w:rPr>
          <w:rFonts w:ascii="宋体" w:hAnsi="宋体" w:cs="Arial"/>
          <w:sz w:val="23"/>
          <w:szCs w:val="23"/>
        </w:rPr>
      </w:pPr>
    </w:p>
    <w:p w14:paraId="682072EB">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离职情形与生效条件</w:t>
      </w:r>
    </w:p>
    <w:p w14:paraId="035B7FC2">
      <w:pPr>
        <w:autoSpaceDE w:val="0"/>
        <w:autoSpaceDN w:val="0"/>
        <w:adjustRightInd w:val="0"/>
        <w:snapToGrid w:val="0"/>
        <w:spacing w:line="360" w:lineRule="auto"/>
        <w:rPr>
          <w:rFonts w:ascii="宋体" w:hAnsi="宋体" w:cs="Arial"/>
          <w:b/>
          <w:bCs/>
          <w:sz w:val="23"/>
          <w:szCs w:val="23"/>
        </w:rPr>
      </w:pPr>
    </w:p>
    <w:p w14:paraId="73812FB8">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rPr>
      </w:pPr>
      <w:r>
        <w:rPr>
          <w:rFonts w:ascii="宋体" w:hAnsi="宋体" w:cs="Arial"/>
          <w:sz w:val="23"/>
          <w:szCs w:val="23"/>
        </w:rPr>
        <w:t>董事可以在任期届满以前辞任。董事辞任应向董事会提交书面辞职报告, 除另有规定外, 公司收到辞职报告之日辞任生效, 公司将在两个交易日内披露有关情况。如因董事的辞任导致公司董事会成员低于法定最低人数时, 或者独立董事辞职导致独立董事人数少于董事会成员的三分之一或独立董事中没有会计专业人士时, 在改选出的董事就任前, 原董事仍应当依照法律、行政法规、部门规章和《公司章程》规定, 履行董事职务。除前款所列情形外, 董事辞职自辞职报告送达董事会时生效。</w:t>
      </w:r>
    </w:p>
    <w:p w14:paraId="28F942F1">
      <w:pPr>
        <w:tabs>
          <w:tab w:val="left" w:pos="915"/>
          <w:tab w:val="left" w:pos="1134"/>
          <w:tab w:val="left" w:pos="1418"/>
        </w:tabs>
        <w:adjustRightInd w:val="0"/>
        <w:snapToGrid w:val="0"/>
        <w:spacing w:line="360" w:lineRule="auto"/>
        <w:ind w:left="1134"/>
        <w:rPr>
          <w:rFonts w:ascii="宋体" w:hAnsi="宋体" w:cs="Arial"/>
          <w:sz w:val="23"/>
          <w:szCs w:val="23"/>
        </w:rPr>
      </w:pPr>
    </w:p>
    <w:p w14:paraId="09CFE697">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rPr>
        <w:t>董事</w:t>
      </w:r>
      <w:r>
        <w:rPr>
          <w:rFonts w:ascii="宋体" w:hAnsi="宋体" w:cs="Arial"/>
          <w:sz w:val="23"/>
          <w:szCs w:val="23"/>
          <w:shd w:val="clear" w:color="auto" w:fill="FFFFFF"/>
        </w:rPr>
        <w:t>任期届满未获连任的, 自股东会决议通过之日自动离职。</w:t>
      </w:r>
    </w:p>
    <w:p w14:paraId="3F468C0E">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68DCE30A">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shd w:val="clear" w:color="auto" w:fill="FFFFFF"/>
        </w:rPr>
        <w:t>股东会</w:t>
      </w:r>
      <w:r>
        <w:rPr>
          <w:rFonts w:ascii="宋体" w:hAnsi="宋体" w:cs="Arial"/>
          <w:sz w:val="23"/>
          <w:szCs w:val="23"/>
        </w:rPr>
        <w:t>可以</w:t>
      </w:r>
      <w:r>
        <w:rPr>
          <w:rFonts w:ascii="宋体" w:hAnsi="宋体" w:cs="Arial"/>
          <w:sz w:val="23"/>
          <w:szCs w:val="23"/>
          <w:shd w:val="clear" w:color="auto" w:fill="FFFFFF"/>
        </w:rPr>
        <w:t>决议解任董事, 决议作出之日解任生效。无正当理由, 在任期届满前解任董事的, 董事可以要求公司予以赔偿。</w:t>
      </w:r>
    </w:p>
    <w:p w14:paraId="510834BF">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402A2C4D">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shd w:val="clear" w:color="auto" w:fill="FFFFFF"/>
        </w:rPr>
        <w:t>公司</w:t>
      </w:r>
      <w:r>
        <w:rPr>
          <w:rFonts w:ascii="宋体" w:hAnsi="宋体" w:cs="Arial"/>
          <w:sz w:val="23"/>
          <w:szCs w:val="23"/>
        </w:rPr>
        <w:t>高级</w:t>
      </w:r>
      <w:r>
        <w:rPr>
          <w:rFonts w:ascii="宋体" w:hAnsi="宋体" w:cs="Arial"/>
          <w:sz w:val="23"/>
          <w:szCs w:val="23"/>
          <w:shd w:val="clear" w:color="auto" w:fill="FFFFFF"/>
        </w:rPr>
        <w:t>管理人员可以在任期届满以前提出辞职。有关高级管理人员辞职的具体程序和办法由其与公司之间的劳动合同或聘用合同规定。</w:t>
      </w:r>
    </w:p>
    <w:p w14:paraId="62A81ED5">
      <w:pPr>
        <w:pStyle w:val="10"/>
        <w:ind w:firstLine="460"/>
        <w:rPr>
          <w:rFonts w:ascii="宋体" w:hAnsi="宋体" w:cs="Arial"/>
          <w:sz w:val="23"/>
          <w:szCs w:val="23"/>
          <w:shd w:val="clear" w:color="auto" w:fill="FFFFFF"/>
        </w:rPr>
      </w:pPr>
    </w:p>
    <w:p w14:paraId="64B8A55C">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74DC3446">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color w:val="000000"/>
          <w:sz w:val="23"/>
          <w:szCs w:val="23"/>
        </w:rPr>
      </w:pPr>
      <w:r>
        <w:rPr>
          <w:rFonts w:ascii="宋体" w:hAnsi="宋体" w:cs="Arial"/>
          <w:color w:val="000000"/>
          <w:kern w:val="0"/>
          <w:sz w:val="23"/>
          <w:szCs w:val="23"/>
          <w:shd w:val="clear" w:color="auto" w:fill="FFFFFF"/>
          <w:lang w:bidi="ar"/>
        </w:rPr>
        <w:t xml:space="preserve">公司董事、高级管理人员为自然人, 有下列情形之一的, 不能担任公司的董事或高级管理人员: </w:t>
      </w:r>
    </w:p>
    <w:p w14:paraId="3EAD1624">
      <w:pPr>
        <w:tabs>
          <w:tab w:val="left" w:pos="915"/>
          <w:tab w:val="left" w:pos="1134"/>
          <w:tab w:val="left" w:pos="1418"/>
        </w:tabs>
        <w:adjustRightInd w:val="0"/>
        <w:snapToGrid w:val="0"/>
        <w:spacing w:line="360" w:lineRule="auto"/>
        <w:ind w:left="1134"/>
        <w:rPr>
          <w:rFonts w:ascii="宋体" w:hAnsi="宋体" w:cs="Arial"/>
          <w:color w:val="000000"/>
          <w:sz w:val="23"/>
          <w:szCs w:val="23"/>
        </w:rPr>
      </w:pPr>
    </w:p>
    <w:p w14:paraId="495DADC9">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无民事行为能力或者限制民事行为能力; </w:t>
      </w:r>
    </w:p>
    <w:p w14:paraId="6C8A0B6B">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因贪污、贿赂、侵占财产、挪用财产或者破坏社会主义市场经济秩序, 被判处刑罚, 或者因犯罪被剥夺政治权利, 执行期满未逾5年, 被宣告缓刑的, 自缓刑考验期满之日起未逾2年; </w:t>
      </w:r>
    </w:p>
    <w:p w14:paraId="1E276434">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担任破产清算的公司、企业的董事或者厂长、经理, 对该公司、企业的破产负有个人责任的, 自该公司、企业破产清算完结之日起未逾3年; </w:t>
      </w:r>
    </w:p>
    <w:p w14:paraId="507ACD10">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担任因违法被吊销营业执照、责令关闭的公司、企业的法定代表人, 并负有个人责任的, 自该公司、企业被吊销营业执照、责令关闭之日起未逾3年; </w:t>
      </w:r>
    </w:p>
    <w:p w14:paraId="37F35C9E">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个人所负数额较大的债务到期未清偿被人民法院列为失信被执行人; </w:t>
      </w:r>
    </w:p>
    <w:p w14:paraId="25786F96">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被中国证监会采取证券市场禁入措施, 期限未满的; </w:t>
      </w:r>
    </w:p>
    <w:p w14:paraId="72100D91">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 xml:space="preserve">被证券交易所公开认定为不适合担任上市公司董事、高级管理人员等, 期限未满的; </w:t>
      </w:r>
    </w:p>
    <w:p w14:paraId="3728AA0C">
      <w:pPr>
        <w:numPr>
          <w:ilvl w:val="0"/>
          <w:numId w:val="3"/>
        </w:numPr>
        <w:tabs>
          <w:tab w:val="left" w:pos="1701"/>
        </w:tabs>
        <w:adjustRightInd w:val="0"/>
        <w:snapToGrid w:val="0"/>
        <w:spacing w:line="360" w:lineRule="auto"/>
        <w:ind w:left="1699" w:leftChars="540" w:hanging="565" w:hangingChars="246"/>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法律、行政法规、部门规章、规范性文件或有关监管机构规定的其他内容。</w:t>
      </w:r>
    </w:p>
    <w:p w14:paraId="5756F898">
      <w:pPr>
        <w:tabs>
          <w:tab w:val="left" w:pos="1701"/>
        </w:tabs>
        <w:adjustRightInd w:val="0"/>
        <w:snapToGrid w:val="0"/>
        <w:spacing w:line="360" w:lineRule="auto"/>
        <w:ind w:left="1700"/>
        <w:rPr>
          <w:rFonts w:ascii="宋体" w:hAnsi="宋体" w:cs="Arial"/>
          <w:color w:val="000000"/>
          <w:kern w:val="0"/>
          <w:sz w:val="23"/>
          <w:szCs w:val="23"/>
          <w:shd w:val="clear" w:color="auto" w:fill="FFFFFF"/>
          <w:lang w:bidi="ar"/>
        </w:rPr>
      </w:pPr>
    </w:p>
    <w:p w14:paraId="302D54FB">
      <w:pPr>
        <w:adjustRightInd w:val="0"/>
        <w:snapToGrid w:val="0"/>
        <w:spacing w:line="360" w:lineRule="auto"/>
        <w:ind w:left="1134" w:leftChars="540"/>
        <w:rPr>
          <w:rFonts w:ascii="宋体" w:hAnsi="宋体" w:cs="Arial"/>
          <w:color w:val="000000"/>
          <w:kern w:val="0"/>
          <w:sz w:val="23"/>
          <w:szCs w:val="23"/>
          <w:shd w:val="clear" w:color="auto" w:fill="FFFFFF"/>
          <w:lang w:bidi="ar"/>
        </w:rPr>
      </w:pPr>
      <w:r>
        <w:rPr>
          <w:rFonts w:ascii="宋体" w:hAnsi="宋体" w:cs="Arial"/>
          <w:color w:val="000000"/>
          <w:kern w:val="0"/>
          <w:sz w:val="23"/>
          <w:szCs w:val="23"/>
          <w:shd w:val="clear" w:color="auto" w:fill="FFFFFF"/>
          <w:lang w:bidi="ar"/>
        </w:rPr>
        <w:t>董事及高级管理人员在任职期间出现本条情形的, 公司将按规定解除其职务, 停止其履职。</w:t>
      </w:r>
    </w:p>
    <w:p w14:paraId="7AA812E7">
      <w:pPr>
        <w:tabs>
          <w:tab w:val="left" w:pos="1260"/>
        </w:tabs>
        <w:adjustRightInd w:val="0"/>
        <w:snapToGrid w:val="0"/>
        <w:spacing w:line="360" w:lineRule="auto"/>
        <w:ind w:left="420" w:leftChars="200"/>
        <w:rPr>
          <w:rFonts w:ascii="宋体" w:hAnsi="宋体" w:cs="Arial"/>
          <w:color w:val="000000"/>
          <w:kern w:val="0"/>
          <w:sz w:val="23"/>
          <w:szCs w:val="23"/>
          <w:shd w:val="clear" w:color="auto" w:fill="FFFFFF"/>
          <w:lang w:bidi="ar"/>
        </w:rPr>
      </w:pPr>
    </w:p>
    <w:p w14:paraId="2C6C21DD">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移交手续与未结事项处理</w:t>
      </w:r>
    </w:p>
    <w:p w14:paraId="24C0AA70">
      <w:pPr>
        <w:autoSpaceDE w:val="0"/>
        <w:autoSpaceDN w:val="0"/>
        <w:adjustRightInd w:val="0"/>
        <w:snapToGrid w:val="0"/>
        <w:spacing w:line="360" w:lineRule="auto"/>
        <w:rPr>
          <w:rFonts w:ascii="宋体" w:hAnsi="宋体" w:cs="Arial"/>
          <w:b/>
          <w:bCs/>
          <w:sz w:val="23"/>
          <w:szCs w:val="23"/>
        </w:rPr>
      </w:pPr>
    </w:p>
    <w:p w14:paraId="6C5A2671">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董事及高级管理人员在离职生效后3个工作日内, 应向董事会移交其任职期间取得的涉及</w:t>
      </w:r>
      <w:r>
        <w:rPr>
          <w:rFonts w:ascii="宋体" w:hAnsi="宋体" w:cs="Arial"/>
          <w:color w:val="000000"/>
          <w:kern w:val="0"/>
          <w:sz w:val="23"/>
          <w:szCs w:val="23"/>
          <w:shd w:val="clear" w:color="auto" w:fill="FFFFFF"/>
          <w:lang w:bidi="ar"/>
        </w:rPr>
        <w:t>公司</w:t>
      </w:r>
      <w:r>
        <w:rPr>
          <w:rFonts w:ascii="宋体" w:hAnsi="宋体" w:cs="Arial"/>
          <w:sz w:val="23"/>
          <w:szCs w:val="23"/>
          <w:shd w:val="clear" w:color="auto" w:fill="FFFFFF"/>
        </w:rPr>
        <w:t>的全部文件、印章、数据资产、未了结事务清单及其他公司要求移交的文件; 移交完成后, 离职人员应当与公司授权人士共同签署离职交接相关文件。</w:t>
      </w:r>
    </w:p>
    <w:p w14:paraId="37EE165A">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35718EFC">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如</w:t>
      </w:r>
      <w:r>
        <w:rPr>
          <w:rFonts w:ascii="宋体" w:hAnsi="宋体" w:cs="Arial"/>
          <w:color w:val="000000"/>
          <w:kern w:val="0"/>
          <w:sz w:val="23"/>
          <w:szCs w:val="23"/>
          <w:shd w:val="clear" w:color="auto" w:fill="FFFFFF"/>
          <w:lang w:bidi="ar"/>
        </w:rPr>
        <w:t>离职</w:t>
      </w:r>
      <w:r>
        <w:rPr>
          <w:rFonts w:ascii="宋体" w:hAnsi="宋体" w:cs="Arial"/>
          <w:sz w:val="23"/>
          <w:szCs w:val="23"/>
          <w:shd w:val="clear" w:color="auto" w:fill="FFFFFF"/>
        </w:rPr>
        <w:t>人员涉及重大投资、关联交易或财务决策等重大事项的, 审计委员会可启动离任审计, 并将审计结果向董事会报告。</w:t>
      </w:r>
    </w:p>
    <w:p w14:paraId="251207C2">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7D7395BC">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如董事、高级管理人员离职前存在未履行完毕的公开承诺(如业绩补偿、增持计划等), 公司有权要求其制定书面履行方案及承诺; 如其未按前述承诺及方案履行的, 公司有权要求其赔偿由此产生的全部损失。</w:t>
      </w:r>
    </w:p>
    <w:p w14:paraId="7D7C539E">
      <w:pPr>
        <w:autoSpaceDE w:val="0"/>
        <w:autoSpaceDN w:val="0"/>
        <w:adjustRightInd w:val="0"/>
        <w:snapToGrid w:val="0"/>
        <w:spacing w:line="360" w:lineRule="auto"/>
        <w:rPr>
          <w:rFonts w:ascii="宋体" w:hAnsi="宋体" w:cs="Arial"/>
          <w:b/>
          <w:bCs/>
          <w:sz w:val="23"/>
          <w:szCs w:val="23"/>
          <w:shd w:val="clear" w:color="auto" w:fill="FFFFFF"/>
        </w:rPr>
      </w:pPr>
    </w:p>
    <w:p w14:paraId="334269EB">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离职董事及高级管理人员的义务</w:t>
      </w:r>
    </w:p>
    <w:p w14:paraId="4F2BFB2C">
      <w:pPr>
        <w:autoSpaceDE w:val="0"/>
        <w:autoSpaceDN w:val="0"/>
        <w:adjustRightInd w:val="0"/>
        <w:snapToGrid w:val="0"/>
        <w:spacing w:line="360" w:lineRule="auto"/>
        <w:rPr>
          <w:rFonts w:ascii="宋体" w:hAnsi="宋体" w:cs="Arial"/>
          <w:b/>
          <w:bCs/>
          <w:sz w:val="23"/>
          <w:szCs w:val="23"/>
        </w:rPr>
      </w:pPr>
    </w:p>
    <w:p w14:paraId="10F8AE62">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shd w:val="clear" w:color="auto" w:fill="FFFFFF"/>
        </w:rPr>
        <w:t>董事及高级管理人员辞任生效或者任期届满, 其对公司和股东承担的忠实义务, 在任期</w:t>
      </w:r>
      <w:r>
        <w:rPr>
          <w:rFonts w:ascii="宋体" w:hAnsi="宋体" w:cs="Arial"/>
          <w:color w:val="000000"/>
          <w:kern w:val="0"/>
          <w:sz w:val="23"/>
          <w:szCs w:val="23"/>
          <w:shd w:val="clear" w:color="auto" w:fill="FFFFFF"/>
          <w:lang w:bidi="ar"/>
        </w:rPr>
        <w:t>结束</w:t>
      </w:r>
      <w:r>
        <w:rPr>
          <w:rFonts w:ascii="宋体" w:hAnsi="宋体" w:cs="Arial"/>
          <w:sz w:val="23"/>
          <w:szCs w:val="23"/>
          <w:shd w:val="clear" w:color="auto" w:fill="FFFFFF"/>
        </w:rPr>
        <w:t>后并不当然解除, 在原定任期届满后2年内仍然有效, 其中对公司商业秘密的保密义务在其任职结束后持续有效, 直至该秘密成为公共信息。其他义务的持续期间应当根据公平的原则决定, 视事件发生与离任之间的长短, 以及与公司的关系在何种情况和条件下结束而定。董事及高级管理人员在任职期间因执行职务而应承担的责任, 不因离任而免除或者终止。</w:t>
      </w:r>
    </w:p>
    <w:p w14:paraId="4577E2FA">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45E20D7D">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shd w:val="clear" w:color="auto" w:fill="FFFFFF"/>
        </w:rPr>
        <w:t>董事、高级管理人员在就任时确定的任职期间内每年转让的股份不得超过其所持有公司同一类别股份总数的25%; 董事、高级管理人员离职后半年内, 不得转让其所持有的公司股份。法律、行政法规或深圳证券交易所对公司股份的转让限制另有规定的, 从其规定。</w:t>
      </w:r>
    </w:p>
    <w:p w14:paraId="6E9CAB37">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299860DC">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sz w:val="23"/>
          <w:szCs w:val="23"/>
          <w:shd w:val="clear" w:color="auto" w:fill="FFFFFF"/>
        </w:rPr>
      </w:pPr>
      <w:r>
        <w:rPr>
          <w:rFonts w:ascii="宋体" w:hAnsi="宋体" w:cs="Arial"/>
          <w:sz w:val="23"/>
          <w:szCs w:val="23"/>
          <w:shd w:val="clear" w:color="auto" w:fill="FFFFFF"/>
        </w:rPr>
        <w:t>离职董事及高级管理人员应全力配合公司对履职期间重大事项的后续核查, 不得拒绝提供必要文件及说明。</w:t>
      </w:r>
    </w:p>
    <w:p w14:paraId="582F6B97">
      <w:pPr>
        <w:tabs>
          <w:tab w:val="left" w:pos="915"/>
          <w:tab w:val="left" w:pos="1134"/>
          <w:tab w:val="left" w:pos="1418"/>
        </w:tabs>
        <w:adjustRightInd w:val="0"/>
        <w:snapToGrid w:val="0"/>
        <w:spacing w:line="360" w:lineRule="auto"/>
        <w:ind w:left="1134"/>
        <w:rPr>
          <w:rFonts w:ascii="宋体" w:hAnsi="宋体" w:cs="Arial"/>
          <w:sz w:val="23"/>
          <w:szCs w:val="23"/>
          <w:shd w:val="clear" w:color="auto" w:fill="FFFFFF"/>
        </w:rPr>
      </w:pPr>
    </w:p>
    <w:p w14:paraId="2E213438">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董事、高级管理人员执行公司职务时违反法律、行政法规、部门规章或公司章程的规定, 给公司造成损失的, 应当承担赔偿责任。前述赔偿责任不因其离职而免除。</w:t>
      </w:r>
    </w:p>
    <w:p w14:paraId="1B307178">
      <w:pPr>
        <w:tabs>
          <w:tab w:val="left" w:pos="1260"/>
        </w:tabs>
        <w:adjustRightInd w:val="0"/>
        <w:snapToGrid w:val="0"/>
        <w:spacing w:line="360" w:lineRule="auto"/>
        <w:rPr>
          <w:rFonts w:ascii="宋体" w:hAnsi="宋体" w:cs="Arial"/>
          <w:sz w:val="23"/>
          <w:szCs w:val="23"/>
          <w:shd w:val="clear" w:color="auto" w:fill="FFFFFF"/>
        </w:rPr>
      </w:pPr>
    </w:p>
    <w:p w14:paraId="376327A4">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责任追究机制</w:t>
      </w:r>
    </w:p>
    <w:p w14:paraId="2A0FFC9A">
      <w:pPr>
        <w:autoSpaceDE w:val="0"/>
        <w:autoSpaceDN w:val="0"/>
        <w:adjustRightInd w:val="0"/>
        <w:snapToGrid w:val="0"/>
        <w:spacing w:line="360" w:lineRule="auto"/>
        <w:rPr>
          <w:rFonts w:ascii="宋体" w:hAnsi="宋体" w:cs="Arial"/>
          <w:b/>
          <w:bCs/>
          <w:sz w:val="23"/>
          <w:szCs w:val="23"/>
        </w:rPr>
      </w:pPr>
    </w:p>
    <w:p w14:paraId="3654F32C">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如公司发现离职董事、高级管理人员存在未履行承诺、移交瑕疵或违反忠实义务等情形的, 董事会应召开会议审议对该等人员的具体追责方案, 追偿金额包括但不限于直接损失、预期利益损失及合理维权费用等。</w:t>
      </w:r>
    </w:p>
    <w:p w14:paraId="1473CDB7">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4F0B72C1">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color w:val="000000"/>
          <w:kern w:val="0"/>
          <w:sz w:val="23"/>
          <w:szCs w:val="23"/>
          <w:shd w:val="clear" w:color="auto" w:fill="FFFFFF"/>
          <w:lang w:bidi="ar"/>
        </w:rPr>
        <w:t>离职</w:t>
      </w:r>
      <w:r>
        <w:rPr>
          <w:rFonts w:ascii="宋体" w:hAnsi="宋体" w:cs="Arial"/>
          <w:sz w:val="23"/>
          <w:szCs w:val="23"/>
          <w:shd w:val="clear" w:color="auto" w:fill="FFFFFF"/>
        </w:rPr>
        <w:t>董事、高级管理人员对追责决定有异议的, 可自收到通知之日起15日内向公司审计委员会申请复核, 复核期间不影响公司采取财产保全措施(如有)。</w:t>
      </w:r>
    </w:p>
    <w:p w14:paraId="4128F02C">
      <w:pPr>
        <w:tabs>
          <w:tab w:val="left" w:pos="1260"/>
        </w:tabs>
        <w:adjustRightInd w:val="0"/>
        <w:snapToGrid w:val="0"/>
        <w:spacing w:line="360" w:lineRule="auto"/>
        <w:rPr>
          <w:rFonts w:ascii="宋体" w:hAnsi="宋体" w:cs="Arial"/>
          <w:sz w:val="23"/>
          <w:szCs w:val="23"/>
          <w:shd w:val="clear" w:color="auto" w:fill="FFFFFF"/>
        </w:rPr>
      </w:pPr>
    </w:p>
    <w:p w14:paraId="3163A0DF">
      <w:pPr>
        <w:numPr>
          <w:ilvl w:val="0"/>
          <w:numId w:val="1"/>
        </w:numPr>
        <w:autoSpaceDE w:val="0"/>
        <w:autoSpaceDN w:val="0"/>
        <w:adjustRightInd w:val="0"/>
        <w:snapToGrid w:val="0"/>
        <w:spacing w:line="360" w:lineRule="auto"/>
        <w:jc w:val="center"/>
        <w:rPr>
          <w:rFonts w:ascii="宋体" w:hAnsi="宋体" w:cs="Arial"/>
          <w:b/>
          <w:bCs/>
          <w:sz w:val="23"/>
          <w:szCs w:val="23"/>
        </w:rPr>
      </w:pPr>
      <w:r>
        <w:rPr>
          <w:rFonts w:ascii="宋体" w:hAnsi="宋体" w:cs="Arial"/>
          <w:b/>
          <w:bCs/>
          <w:sz w:val="23"/>
          <w:szCs w:val="23"/>
        </w:rPr>
        <w:t>附则</w:t>
      </w:r>
    </w:p>
    <w:p w14:paraId="33CA06EE">
      <w:pPr>
        <w:autoSpaceDE w:val="0"/>
        <w:autoSpaceDN w:val="0"/>
        <w:adjustRightInd w:val="0"/>
        <w:snapToGrid w:val="0"/>
        <w:spacing w:line="360" w:lineRule="auto"/>
        <w:rPr>
          <w:rFonts w:ascii="宋体" w:hAnsi="宋体" w:cs="Arial"/>
          <w:b/>
          <w:bCs/>
          <w:sz w:val="23"/>
          <w:szCs w:val="23"/>
        </w:rPr>
      </w:pPr>
    </w:p>
    <w:p w14:paraId="69AD4A0C">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本制度未尽事宜, 依照国家有关法律、法规、规范性文件、《公司章程》的有关规定执行。本制度与法律、法规、其他规范性文件以及《公司章程》的有关规定不一致的, 以有关法律、法规、其他规范性文件以及《公司章程》的规定为准。</w:t>
      </w:r>
    </w:p>
    <w:p w14:paraId="03CBEF76">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7EDC10E1">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本制度由公司董事会负责解释和修订。</w:t>
      </w:r>
    </w:p>
    <w:p w14:paraId="09CF0D9F">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3B928BB2">
      <w:pPr>
        <w:numPr>
          <w:ilvl w:val="0"/>
          <w:numId w:val="2"/>
        </w:numPr>
        <w:tabs>
          <w:tab w:val="left" w:pos="1134"/>
          <w:tab w:val="left" w:pos="1418"/>
          <w:tab w:val="clear" w:pos="915"/>
        </w:tabs>
        <w:adjustRightInd w:val="0"/>
        <w:snapToGrid w:val="0"/>
        <w:spacing w:line="360" w:lineRule="auto"/>
        <w:ind w:left="1134" w:hanging="1133" w:hangingChars="493"/>
        <w:rPr>
          <w:rFonts w:ascii="宋体" w:hAnsi="宋体" w:cs="Arial"/>
          <w:b/>
          <w:bCs/>
          <w:sz w:val="23"/>
          <w:szCs w:val="23"/>
          <w:shd w:val="clear" w:color="auto" w:fill="FFFFFF"/>
        </w:rPr>
      </w:pPr>
      <w:r>
        <w:rPr>
          <w:rFonts w:ascii="宋体" w:hAnsi="宋体" w:cs="Arial"/>
          <w:sz w:val="23"/>
          <w:szCs w:val="23"/>
          <w:shd w:val="clear" w:color="auto" w:fill="FFFFFF"/>
        </w:rPr>
        <w:t>本制度自</w:t>
      </w:r>
      <w:r>
        <w:rPr>
          <w:rFonts w:ascii="宋体" w:hAnsi="宋体" w:cs="Arial"/>
          <w:color w:val="000000"/>
          <w:kern w:val="0"/>
          <w:sz w:val="23"/>
          <w:szCs w:val="23"/>
          <w:shd w:val="clear" w:color="auto" w:fill="FFFFFF"/>
          <w:lang w:bidi="ar"/>
        </w:rPr>
        <w:t>公司</w:t>
      </w:r>
      <w:r>
        <w:rPr>
          <w:rFonts w:ascii="宋体" w:hAnsi="宋体" w:cs="Arial"/>
          <w:sz w:val="23"/>
          <w:szCs w:val="23"/>
          <w:shd w:val="clear" w:color="auto" w:fill="FFFFFF"/>
        </w:rPr>
        <w:t>董事会审议批准</w:t>
      </w:r>
      <w:r>
        <w:rPr>
          <w:rFonts w:hint="eastAsia" w:ascii="宋体" w:hAnsi="宋体" w:cs="Arial"/>
          <w:sz w:val="23"/>
          <w:szCs w:val="23"/>
          <w:shd w:val="clear" w:color="auto" w:fill="FFFFFF"/>
          <w:lang w:val="en-US" w:eastAsia="zh-CN"/>
        </w:rPr>
        <w:t>之日起</w:t>
      </w:r>
      <w:r>
        <w:rPr>
          <w:rFonts w:ascii="宋体" w:hAnsi="宋体" w:cs="Arial"/>
          <w:sz w:val="23"/>
          <w:szCs w:val="23"/>
          <w:shd w:val="clear" w:color="auto" w:fill="FFFFFF"/>
        </w:rPr>
        <w:t>生效实施。</w:t>
      </w:r>
      <w:bookmarkStart w:id="0" w:name="_GoBack"/>
      <w:bookmarkEnd w:id="0"/>
    </w:p>
    <w:p w14:paraId="57D36060">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p w14:paraId="21EC466B">
      <w:pPr>
        <w:tabs>
          <w:tab w:val="left" w:pos="915"/>
          <w:tab w:val="left" w:pos="1134"/>
          <w:tab w:val="left" w:pos="1418"/>
        </w:tabs>
        <w:adjustRightInd w:val="0"/>
        <w:snapToGrid w:val="0"/>
        <w:spacing w:line="360" w:lineRule="auto"/>
        <w:ind w:left="1138"/>
        <w:rPr>
          <w:rFonts w:ascii="宋体" w:hAnsi="宋体" w:cs="Arial"/>
          <w:b/>
          <w:bCs/>
          <w:sz w:val="23"/>
          <w:szCs w:val="23"/>
          <w:shd w:val="clear" w:color="auto" w:fill="FFFFFF"/>
        </w:rPr>
      </w:pPr>
    </w:p>
    <w:sectPr>
      <w:headerReference r:id="rId3" w:type="default"/>
      <w:footerReference r:id="rId4" w:type="default"/>
      <w:pgSz w:w="11906" w:h="16838"/>
      <w:pgMar w:top="1565" w:right="1418" w:bottom="1413"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14EC">
    <w:pPr>
      <w:pStyle w:val="3"/>
      <w:jc w:val="center"/>
      <w:rPr>
        <w:rFonts w:ascii="Arial" w:hAnsi="Arial" w:cs="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89226">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589226">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3545">
    <w:pPr>
      <w:pStyle w:val="4"/>
    </w:pPr>
    <w:r>
      <w:drawing>
        <wp:anchor distT="0" distB="0" distL="114300" distR="114300" simplePos="0" relativeHeight="251659264" behindDoc="0" locked="0" layoutInCell="1" allowOverlap="1">
          <wp:simplePos x="0" y="0"/>
          <wp:positionH relativeFrom="column">
            <wp:posOffset>3175</wp:posOffset>
          </wp:positionH>
          <wp:positionV relativeFrom="paragraph">
            <wp:posOffset>-5715</wp:posOffset>
          </wp:positionV>
          <wp:extent cx="381000" cy="403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7FCE7B2C">
    <w:pPr>
      <w:pStyle w:val="4"/>
    </w:pPr>
  </w:p>
  <w:p w14:paraId="18E6CDD3">
    <w:pPr>
      <w:pStyle w:val="4"/>
    </w:pPr>
    <w:r>
      <w:rPr>
        <w:rFonts w:hint="eastAsia"/>
      </w:rPr>
      <w:t>永兴特种材料科技股份有限公司董事、高级管理人员离职管理制度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249A3"/>
    <w:multiLevelType w:val="multilevel"/>
    <w:tmpl w:val="3CA249A3"/>
    <w:lvl w:ilvl="0" w:tentative="0">
      <w:start w:val="1"/>
      <w:numFmt w:val="japaneseCounting"/>
      <w:lvlText w:val="第%1条"/>
      <w:lvlJc w:val="left"/>
      <w:pPr>
        <w:tabs>
          <w:tab w:val="left" w:pos="915"/>
        </w:tabs>
        <w:ind w:left="915" w:hanging="915"/>
      </w:pPr>
      <w:rPr>
        <w:rFonts w:hint="eastAsia" w:ascii="宋体" w:hAnsi="宋体" w:eastAsia="宋体" w:cs="宋体"/>
        <w:b w:val="0"/>
        <w:bCs/>
        <w:sz w:val="23"/>
        <w:szCs w:val="23"/>
      </w:rPr>
    </w:lvl>
    <w:lvl w:ilvl="1" w:tentative="0">
      <w:start w:val="1"/>
      <w:numFmt w:val="japaneseCounting"/>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1E0727A"/>
    <w:multiLevelType w:val="multilevel"/>
    <w:tmpl w:val="41E0727A"/>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C0DBE14"/>
    <w:multiLevelType w:val="singleLevel"/>
    <w:tmpl w:val="7C0DBE14"/>
    <w:lvl w:ilvl="0" w:tentative="0">
      <w:start w:val="1"/>
      <w:numFmt w:val="chineseCounting"/>
      <w:suff w:val="space"/>
      <w:lvlText w:val="第%1章"/>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77BC8"/>
    <w:rsid w:val="000A6B80"/>
    <w:rsid w:val="000E0155"/>
    <w:rsid w:val="00293797"/>
    <w:rsid w:val="002E28F3"/>
    <w:rsid w:val="00424974"/>
    <w:rsid w:val="004A59DE"/>
    <w:rsid w:val="004D1D4B"/>
    <w:rsid w:val="00650EC0"/>
    <w:rsid w:val="00682044"/>
    <w:rsid w:val="006B73FF"/>
    <w:rsid w:val="007D1E94"/>
    <w:rsid w:val="00972461"/>
    <w:rsid w:val="00A5453B"/>
    <w:rsid w:val="00AB5AA8"/>
    <w:rsid w:val="00B731AD"/>
    <w:rsid w:val="00C22720"/>
    <w:rsid w:val="00C46118"/>
    <w:rsid w:val="00CF619F"/>
    <w:rsid w:val="00D66E97"/>
    <w:rsid w:val="00D71A6B"/>
    <w:rsid w:val="00DF51A0"/>
    <w:rsid w:val="00E31866"/>
    <w:rsid w:val="00EF378D"/>
    <w:rsid w:val="00F10DBC"/>
    <w:rsid w:val="00F273A0"/>
    <w:rsid w:val="00F828CD"/>
    <w:rsid w:val="25FC54D1"/>
    <w:rsid w:val="2BEC27DE"/>
    <w:rsid w:val="39077BC8"/>
    <w:rsid w:val="785C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批注框文本 字符"/>
    <w:basedOn w:val="6"/>
    <w:link w:val="2"/>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1995</Words>
  <Characters>2000</Characters>
  <Lines>15</Lines>
  <Paragraphs>4</Paragraphs>
  <TotalTime>1</TotalTime>
  <ScaleCrop>false</ScaleCrop>
  <LinksUpToDate>false</LinksUpToDate>
  <CharactersWithSpaces>2066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2025-06-03T05:51:00Z</dcterms:created>
  <dc:creator>xx</dc:creator>
  <cp:lastModifiedBy>lln</cp:lastModifiedBy>
  <dcterms:modified xsi:type="dcterms:W3CDTF">2025-08-15T07:18:55Z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5D3D3FE8B3FC499BA48130CE3942A030_13</vt:lpwstr>
  </property>
  <property fmtid="{D5CDD505-2E9C-101B-9397-08002B2CF9AE}" pid="4" name="KSOTemplateDocerSaveRecord">
    <vt:lpwstr>eyJoZGlkIjoiOTY5MGY0N2RkMmFlNDMzZDk2OWQ4NzBkNDJjZTc3NjciLCJ1c2VySWQiOiI3Mjk5Njk2NTYifQ==</vt:lpwstr>
  </property>
</Properties>
</file>